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844" w:rsidRPr="00E63844" w:rsidRDefault="00E63844" w:rsidP="00E63844">
      <w:pPr>
        <w:pStyle w:val="NoSpacing"/>
        <w:spacing w:after="0" w:line="240" w:lineRule="auto"/>
        <w:jc w:val="center"/>
        <w:rPr>
          <w:rFonts w:ascii="Arial" w:hAnsi="Arial" w:cs="Arial"/>
          <w:b/>
          <w:sz w:val="28"/>
          <w:szCs w:val="28"/>
        </w:rPr>
      </w:pPr>
      <w:r w:rsidRPr="00E63844">
        <w:rPr>
          <w:rFonts w:ascii="Arial" w:hAnsi="Arial" w:cs="Arial"/>
          <w:b/>
          <w:sz w:val="28"/>
          <w:szCs w:val="28"/>
        </w:rPr>
        <w:t>OPENING A PHILOSOPHICAL SPACE IN THE MATHEMATICS CURRICULUM</w:t>
      </w:r>
    </w:p>
    <w:p w:rsidR="00E63844" w:rsidRPr="00E63844" w:rsidRDefault="00E63844" w:rsidP="00E63844">
      <w:pPr>
        <w:pStyle w:val="NoSpacing"/>
        <w:spacing w:after="0" w:line="240" w:lineRule="auto"/>
        <w:jc w:val="center"/>
        <w:rPr>
          <w:b/>
          <w:sz w:val="28"/>
          <w:szCs w:val="28"/>
        </w:rPr>
      </w:pPr>
    </w:p>
    <w:p w:rsidR="00E63844" w:rsidRPr="00E63844" w:rsidRDefault="00E63844" w:rsidP="00E63844">
      <w:pPr>
        <w:pStyle w:val="NoSpacing"/>
        <w:spacing w:after="0" w:line="240" w:lineRule="auto"/>
        <w:jc w:val="center"/>
        <w:rPr>
          <w:rFonts w:ascii="Arial" w:hAnsi="Arial" w:cs="Arial"/>
          <w:b/>
          <w:sz w:val="28"/>
          <w:szCs w:val="28"/>
        </w:rPr>
      </w:pPr>
      <w:r w:rsidRPr="00E63844">
        <w:rPr>
          <w:rFonts w:ascii="Arial" w:hAnsi="Arial" w:cs="Arial"/>
          <w:b/>
          <w:sz w:val="28"/>
          <w:szCs w:val="28"/>
        </w:rPr>
        <w:t>Nadia Stoyanova Kennedy</w:t>
      </w:r>
    </w:p>
    <w:p w:rsidR="00E63844" w:rsidRPr="00E63844" w:rsidRDefault="00E63844" w:rsidP="00E63844">
      <w:pPr>
        <w:pStyle w:val="NoSpacing"/>
        <w:spacing w:after="0" w:line="240" w:lineRule="auto"/>
        <w:jc w:val="center"/>
        <w:rPr>
          <w:b/>
          <w:sz w:val="28"/>
          <w:szCs w:val="28"/>
        </w:rPr>
      </w:pPr>
    </w:p>
    <w:p w:rsidR="00165416" w:rsidRPr="00F50B37" w:rsidRDefault="00165416" w:rsidP="00165416">
      <w:pPr>
        <w:pStyle w:val="NoSpacing"/>
        <w:spacing w:after="0" w:line="240" w:lineRule="auto"/>
        <w:jc w:val="center"/>
        <w:rPr>
          <w:rFonts w:ascii="Arial" w:hAnsi="Arial" w:cs="Arial"/>
        </w:rPr>
      </w:pPr>
      <w:r w:rsidRPr="00F50B37">
        <w:rPr>
          <w:rFonts w:ascii="Arial" w:hAnsi="Arial" w:cs="Arial"/>
        </w:rPr>
        <w:t>City University of New York, USA</w:t>
      </w:r>
    </w:p>
    <w:p w:rsidR="00165416" w:rsidRDefault="00165416" w:rsidP="00165416">
      <w:pPr>
        <w:pStyle w:val="NoSpacing"/>
        <w:spacing w:after="0" w:line="240" w:lineRule="auto"/>
        <w:jc w:val="center"/>
        <w:rPr>
          <w:rFonts w:ascii="Arial" w:hAnsi="Arial" w:cs="Arial"/>
        </w:rPr>
      </w:pPr>
      <w:proofErr w:type="gramStart"/>
      <w:r>
        <w:rPr>
          <w:rFonts w:ascii="Arial" w:hAnsi="Arial" w:cs="Arial"/>
        </w:rPr>
        <w:t>n</w:t>
      </w:r>
      <w:bookmarkStart w:id="0" w:name="_GoBack"/>
      <w:bookmarkEnd w:id="0"/>
      <w:r w:rsidRPr="00F50B37">
        <w:rPr>
          <w:rFonts w:ascii="Arial" w:hAnsi="Arial" w:cs="Arial"/>
        </w:rPr>
        <w:t>kennedy</w:t>
      </w:r>
      <w:proofErr w:type="gramEnd"/>
      <w:r w:rsidRPr="00F50B37">
        <w:rPr>
          <w:rFonts w:ascii="Arial" w:hAnsi="Arial" w:cs="Arial"/>
        </w:rPr>
        <w:t xml:space="preserve"> @ citytech.cuny.edu</w:t>
      </w:r>
    </w:p>
    <w:p w:rsidR="00E63844" w:rsidRPr="00E63844" w:rsidRDefault="00E63844" w:rsidP="00E63844">
      <w:pPr>
        <w:pStyle w:val="NoSpacing"/>
        <w:spacing w:after="0" w:line="240" w:lineRule="auto"/>
        <w:jc w:val="center"/>
        <w:rPr>
          <w:rFonts w:ascii="Arial" w:hAnsi="Arial" w:cs="Arial"/>
        </w:rPr>
      </w:pPr>
    </w:p>
    <w:p w:rsidR="00E63844" w:rsidRDefault="00E63844" w:rsidP="00E63844">
      <w:pPr>
        <w:pStyle w:val="NoSpacing"/>
        <w:spacing w:after="0" w:line="240" w:lineRule="auto"/>
        <w:jc w:val="center"/>
      </w:pPr>
    </w:p>
    <w:p w:rsidR="00E63844" w:rsidRPr="00E63844" w:rsidRDefault="00E63844" w:rsidP="00E63844">
      <w:pPr>
        <w:pStyle w:val="NoSpacing"/>
        <w:spacing w:after="0" w:line="240" w:lineRule="auto"/>
        <w:jc w:val="center"/>
        <w:rPr>
          <w:rFonts w:ascii="Arial" w:hAnsi="Arial" w:cs="Arial"/>
          <w:b/>
        </w:rPr>
      </w:pPr>
      <w:r w:rsidRPr="00E63844">
        <w:rPr>
          <w:rFonts w:ascii="Arial" w:hAnsi="Arial" w:cs="Arial"/>
          <w:b/>
        </w:rPr>
        <w:t>Abstract</w:t>
      </w:r>
    </w:p>
    <w:p w:rsidR="00E63844" w:rsidRDefault="00E63844" w:rsidP="00E63844">
      <w:pPr>
        <w:pStyle w:val="NoSpacing"/>
        <w:spacing w:after="0" w:line="240" w:lineRule="auto"/>
        <w:ind w:left="288"/>
      </w:pPr>
      <w:r w:rsidRPr="001D5A64">
        <w:rPr>
          <w:iCs/>
        </w:rPr>
        <w:t xml:space="preserve">The paper argues </w:t>
      </w:r>
      <w:r w:rsidRPr="001D5A64">
        <w:t>that philosophical inquiry may have a place in the math classroom, helping to facilitate understandings that may serve to complement and critically judge the inferences acquired in and with mathematics. In other words, philosophical inquiry may aid in the opening of a “wider horizon of interpretations” that includes a critical dimension. Such an opening represents a potential expansion of students’ mathematical experience, and promises to provide bridges for establishing richer, critical, and more meaningful connections and interactions with students’ personal experience and with the broader culture.</w:t>
      </w:r>
    </w:p>
    <w:p w:rsidR="00E63844" w:rsidRPr="001D5A64" w:rsidRDefault="00E63844" w:rsidP="00E63844">
      <w:pPr>
        <w:pStyle w:val="NoSpacing"/>
        <w:spacing w:after="0" w:line="240" w:lineRule="auto"/>
        <w:ind w:left="288"/>
        <w:rPr>
          <w:iCs/>
        </w:rPr>
      </w:pPr>
      <w:r w:rsidRPr="001D5A64">
        <w:t xml:space="preserve"> </w:t>
      </w:r>
    </w:p>
    <w:p w:rsidR="00E63844" w:rsidRDefault="00E63844" w:rsidP="00E63844">
      <w:pPr>
        <w:widowControl w:val="0"/>
        <w:autoSpaceDE w:val="0"/>
        <w:autoSpaceDN w:val="0"/>
        <w:adjustRightInd w:val="0"/>
        <w:spacing w:after="0" w:line="240" w:lineRule="auto"/>
        <w:rPr>
          <w:rFonts w:cs="Times New Roman"/>
          <w:sz w:val="24"/>
          <w:szCs w:val="24"/>
        </w:rPr>
      </w:pPr>
      <w:r w:rsidRPr="001D5A64">
        <w:rPr>
          <w:rFonts w:cs="Times New Roman"/>
          <w:kern w:val="24"/>
          <w:sz w:val="24"/>
          <w:szCs w:val="24"/>
        </w:rPr>
        <w:t xml:space="preserve">Mathematics offers a particular way of seeing and understanding the world. It represents a form of knowledge essential for people capable of functioning as critical citizens in contemporary societies, but it also imposes a particular worldview and epistemology—a way of seeing things, and a way of relating to the world of our experience. It is a “regime of truth,” reinforced by public discourses, media, and schooling, that </w:t>
      </w:r>
      <w:r w:rsidRPr="001D5A64">
        <w:rPr>
          <w:rFonts w:cs="Times New Roman"/>
          <w:sz w:val="24"/>
          <w:szCs w:val="24"/>
        </w:rPr>
        <w:t xml:space="preserve">privileges what is perceived as objective, material and quantifiable over the subjective and experienced, facts and logic over values and feelings (Foucault, 2000).  It aids in the structuring, ordering, regulating, and controlling of subjects and society that Foucault referred to as “biopower.” In our postmodern world, mathematics has acquired “formatting power,” and subjectivity and identity are deeply informed by meanings filtered through the conceptual lenses of number, measurement, calculation, probability, patterns and quantification (Skovsmose, 1994).  Thus mathematics is not only a means of controlling the environment, but it becomes embodied in our thinking and action (Fischer, 2007). As such, it may lead to blind acceptance of the products of mathematization, and a lack of awareness of how mathematics operates in our culture. </w:t>
      </w:r>
    </w:p>
    <w:p w:rsidR="00E63844" w:rsidRPr="001D5A64" w:rsidRDefault="00E63844" w:rsidP="00E63844">
      <w:pPr>
        <w:widowControl w:val="0"/>
        <w:autoSpaceDE w:val="0"/>
        <w:autoSpaceDN w:val="0"/>
        <w:adjustRightInd w:val="0"/>
        <w:spacing w:after="0" w:line="240" w:lineRule="auto"/>
        <w:rPr>
          <w:rFonts w:cs="Times New Roman"/>
          <w:sz w:val="24"/>
          <w:szCs w:val="24"/>
        </w:rPr>
      </w:pPr>
    </w:p>
    <w:p w:rsidR="00E63844" w:rsidRDefault="00E63844" w:rsidP="00E63844">
      <w:pPr>
        <w:widowControl w:val="0"/>
        <w:autoSpaceDE w:val="0"/>
        <w:autoSpaceDN w:val="0"/>
        <w:adjustRightInd w:val="0"/>
        <w:spacing w:after="0" w:line="240" w:lineRule="auto"/>
        <w:rPr>
          <w:rFonts w:cs="Times New Roman"/>
          <w:sz w:val="24"/>
          <w:szCs w:val="24"/>
        </w:rPr>
      </w:pPr>
      <w:r w:rsidRPr="001D5A64">
        <w:rPr>
          <w:rFonts w:cs="Times New Roman"/>
          <w:sz w:val="24"/>
          <w:szCs w:val="24"/>
        </w:rPr>
        <w:t>Unless there is a recognition of the cultural aspects of the operation of mathematics and its implicit epistemology, only narrow views of the discipline will result, and mathematics will be associated with the myth of objectivity, truth, and a “value-free” mathematical instrumentarium and form of judgment. Skovsmose (1994) draws attention to the “power” of math language, which may help us in “seeing” patterns and relations, but may also result in “overlooking” what has been excised and deemphasized by the language of math. To become aware of this possibility, an “excavation” of unstated epistemological assumptions and processes that take place during mathematization is necessary.</w:t>
      </w:r>
    </w:p>
    <w:p w:rsidR="00E63844" w:rsidRPr="001D5A64" w:rsidRDefault="00E63844" w:rsidP="00E63844">
      <w:pPr>
        <w:widowControl w:val="0"/>
        <w:autoSpaceDE w:val="0"/>
        <w:autoSpaceDN w:val="0"/>
        <w:adjustRightInd w:val="0"/>
        <w:spacing w:after="0" w:line="240" w:lineRule="auto"/>
        <w:rPr>
          <w:rFonts w:cs="Times New Roman"/>
          <w:sz w:val="24"/>
          <w:szCs w:val="24"/>
        </w:rPr>
      </w:pPr>
      <w:r w:rsidRPr="001D5A64">
        <w:rPr>
          <w:rFonts w:cs="Times New Roman"/>
          <w:sz w:val="24"/>
          <w:szCs w:val="24"/>
        </w:rPr>
        <w:t xml:space="preserve"> </w:t>
      </w:r>
    </w:p>
    <w:p w:rsidR="00E63844" w:rsidRDefault="00E63844" w:rsidP="00E63844">
      <w:pPr>
        <w:widowControl w:val="0"/>
        <w:autoSpaceDE w:val="0"/>
        <w:autoSpaceDN w:val="0"/>
        <w:adjustRightInd w:val="0"/>
        <w:spacing w:after="0" w:line="240" w:lineRule="auto"/>
        <w:rPr>
          <w:rFonts w:cs="Times New Roman"/>
          <w:sz w:val="24"/>
          <w:szCs w:val="24"/>
        </w:rPr>
      </w:pPr>
      <w:r w:rsidRPr="001D5A64">
        <w:rPr>
          <w:rFonts w:cs="Times New Roman"/>
          <w:sz w:val="24"/>
          <w:szCs w:val="24"/>
        </w:rPr>
        <w:t xml:space="preserve">In fact many proponents of critical mathematics education (e.g. D’Ambrosio, 2006; Skovsmose, 1994; Bishop, 1988, Keitel, Kotzmann &amp; Skovsmose, 1993; Vithal, 2003) do advocate for the development of critical mathematical competence in the school as one of the essential elements of democratic subjectivity. It is just here that philosophical inquiry may have a place in the math classroom, helping to facilitate understandings </w:t>
      </w:r>
      <w:r w:rsidRPr="001D5A64">
        <w:rPr>
          <w:rFonts w:cs="Times New Roman"/>
          <w:i/>
          <w:sz w:val="24"/>
          <w:szCs w:val="24"/>
        </w:rPr>
        <w:t>about</w:t>
      </w:r>
      <w:r w:rsidRPr="001D5A64">
        <w:rPr>
          <w:rFonts w:cs="Times New Roman"/>
          <w:sz w:val="24"/>
          <w:szCs w:val="24"/>
        </w:rPr>
        <w:t xml:space="preserve"> mathematics </w:t>
      </w:r>
      <w:r w:rsidRPr="001D5A64">
        <w:rPr>
          <w:rFonts w:cs="Times New Roman"/>
          <w:sz w:val="24"/>
          <w:szCs w:val="24"/>
        </w:rPr>
        <w:lastRenderedPageBreak/>
        <w:t xml:space="preserve">that may serve to complement and critically judge our inferences acquired </w:t>
      </w:r>
      <w:r w:rsidRPr="001D5A64">
        <w:rPr>
          <w:rFonts w:cs="Times New Roman"/>
          <w:i/>
          <w:sz w:val="24"/>
          <w:szCs w:val="24"/>
        </w:rPr>
        <w:t>in</w:t>
      </w:r>
      <w:r w:rsidRPr="001D5A64">
        <w:rPr>
          <w:rFonts w:cs="Times New Roman"/>
          <w:sz w:val="24"/>
          <w:szCs w:val="24"/>
        </w:rPr>
        <w:t xml:space="preserve"> and </w:t>
      </w:r>
      <w:r w:rsidRPr="001D5A64">
        <w:rPr>
          <w:rFonts w:cs="Times New Roman"/>
          <w:i/>
          <w:sz w:val="24"/>
          <w:szCs w:val="24"/>
        </w:rPr>
        <w:t>with</w:t>
      </w:r>
      <w:r w:rsidRPr="001D5A64">
        <w:rPr>
          <w:rFonts w:cs="Times New Roman"/>
          <w:sz w:val="24"/>
          <w:szCs w:val="24"/>
        </w:rPr>
        <w:t xml:space="preserve"> mathematics in the process of mathematization. In other words, philosophical inquiry may aid in the opening of a “wider horizon of interpretations” that includes a critical dimension. </w:t>
      </w:r>
    </w:p>
    <w:p w:rsidR="00E63844" w:rsidRPr="001D5A64" w:rsidRDefault="00E63844" w:rsidP="00E63844">
      <w:pPr>
        <w:widowControl w:val="0"/>
        <w:autoSpaceDE w:val="0"/>
        <w:autoSpaceDN w:val="0"/>
        <w:adjustRightInd w:val="0"/>
        <w:spacing w:after="0" w:line="240" w:lineRule="auto"/>
        <w:rPr>
          <w:rFonts w:cs="Times New Roman"/>
          <w:sz w:val="24"/>
          <w:szCs w:val="24"/>
        </w:rPr>
      </w:pPr>
    </w:p>
    <w:p w:rsidR="00E63844" w:rsidRDefault="00E63844" w:rsidP="00E63844">
      <w:pPr>
        <w:pStyle w:val="NoSpacing"/>
        <w:spacing w:after="0" w:line="240" w:lineRule="auto"/>
        <w:rPr>
          <w:b/>
        </w:rPr>
      </w:pPr>
      <w:r w:rsidRPr="001D5A64">
        <w:rPr>
          <w:b/>
        </w:rPr>
        <w:t>PHILOSOPHICAL INQUIRY IN THE CLASSROOM</w:t>
      </w:r>
    </w:p>
    <w:p w:rsidR="00E63844" w:rsidRPr="001D5A64" w:rsidRDefault="00E63844" w:rsidP="00E63844">
      <w:pPr>
        <w:pStyle w:val="NoSpacing"/>
        <w:spacing w:after="0" w:line="240" w:lineRule="auto"/>
        <w:rPr>
          <w:b/>
        </w:rPr>
      </w:pPr>
      <w:r w:rsidRPr="001D5A64">
        <w:rPr>
          <w:b/>
        </w:rPr>
        <w:t xml:space="preserve"> </w:t>
      </w:r>
    </w:p>
    <w:p w:rsidR="00E63844" w:rsidRDefault="00E63844" w:rsidP="00E63844">
      <w:pPr>
        <w:widowControl w:val="0"/>
        <w:autoSpaceDE w:val="0"/>
        <w:autoSpaceDN w:val="0"/>
        <w:adjustRightInd w:val="0"/>
        <w:spacing w:after="0" w:line="240" w:lineRule="auto"/>
        <w:rPr>
          <w:rFonts w:cs="Times New Roman"/>
          <w:sz w:val="24"/>
          <w:szCs w:val="24"/>
        </w:rPr>
      </w:pPr>
      <w:r w:rsidRPr="001D5A64">
        <w:rPr>
          <w:rFonts w:cs="Times New Roman"/>
          <w:sz w:val="24"/>
          <w:szCs w:val="24"/>
        </w:rPr>
        <w:t xml:space="preserve">By philosophical inquiry I understand, as developed in the theoretical works of Matthew Lipman—the founder of the Philosophy for Children (P4C) program, the process of arriving at </w:t>
      </w:r>
      <w:r w:rsidRPr="001D5A64">
        <w:rPr>
          <w:rFonts w:cs="Times New Roman"/>
          <w:i/>
          <w:iCs/>
          <w:sz w:val="24"/>
          <w:szCs w:val="24"/>
        </w:rPr>
        <w:t xml:space="preserve">critical judgments </w:t>
      </w:r>
      <w:r w:rsidRPr="001D5A64">
        <w:rPr>
          <w:rFonts w:cs="Times New Roman"/>
          <w:sz w:val="24"/>
          <w:szCs w:val="24"/>
        </w:rPr>
        <w:t xml:space="preserve">regarding philosophical questions or issues that have become a focusing point of a given group dialogue. These judgments are necessitated by an urge to resolve problematic experiences with philosophical dimensions, such as—to follow from the traditional categorization--ethical questions (e.g. What is fair to do?), ontological questions (e.g. What is the difference between a mathematical model and the real-world situation that it models?), epistemological questions (e.g. What does it mean to learn something?), and aesthetic questions (e.g. What is an elegant solution to a math problem?). In the context of P4C, for a philosophical judgment to be reasonable it must be well-reasoned, rely on sound arguments and good evidence, and be well-informed and reflective of multiple and diverse perspectives. It must be capable of surviving the scrutiny of critical, communal dialogue, and be relevant to one’s personal experience (Lipman, 2003; Gregory, 2006). As such, its most important assumption is that philosophical inquiry is carried on in the context of a community of philosophical inquiry (CPI) through a process of collaborative and dialogical deliberation. </w:t>
      </w:r>
    </w:p>
    <w:p w:rsidR="00E63844" w:rsidRPr="001D5A64" w:rsidRDefault="00E63844" w:rsidP="00E63844">
      <w:pPr>
        <w:widowControl w:val="0"/>
        <w:autoSpaceDE w:val="0"/>
        <w:autoSpaceDN w:val="0"/>
        <w:adjustRightInd w:val="0"/>
        <w:spacing w:after="0" w:line="240" w:lineRule="auto"/>
        <w:rPr>
          <w:rFonts w:cs="Times New Roman"/>
          <w:sz w:val="24"/>
          <w:szCs w:val="24"/>
        </w:rPr>
      </w:pPr>
    </w:p>
    <w:p w:rsidR="00E63844" w:rsidRDefault="00E63844" w:rsidP="00E63844">
      <w:pPr>
        <w:widowControl w:val="0"/>
        <w:autoSpaceDE w:val="0"/>
        <w:autoSpaceDN w:val="0"/>
        <w:adjustRightInd w:val="0"/>
        <w:spacing w:after="0" w:line="240" w:lineRule="auto"/>
        <w:rPr>
          <w:rFonts w:cs="Times New Roman"/>
          <w:sz w:val="24"/>
          <w:szCs w:val="24"/>
        </w:rPr>
      </w:pPr>
      <w:r w:rsidRPr="001D5A64">
        <w:rPr>
          <w:rFonts w:cs="Times New Roman"/>
          <w:sz w:val="24"/>
          <w:szCs w:val="24"/>
        </w:rPr>
        <w:t xml:space="preserve">The primary objective of its deliberations is the construction of meaningful arguments, not through transmission, individual reflection or debate, but through what is referred to as building on each other’s ideas— that is through distributed thinking in a dialogical context. The ideal inquiry proceeds through a form of argumentation which, because it is inherently dialogical, is thus by implication a dialectical process, which is to say a process which moves forward through encountering and attempting to resolve tensions, ambiguities, or contradictions. The chief pedagogical significance of the constructive process of community of philosophical inquiry is that it operates in the collective zone of proximal development or ZPD (Vygotsky, 1978), which acts to scaffold concepts, skills and dispositions for each individual. The scaffolding process functions through subprocesses such as clarification, reformulation, summarization, and explanation, as well as through challenge and disagreement (Kennedy &amp; Kennedy, 2011). Uncovering and analyzing assumptions is a fundamental work done in the process of inquiry towards arriving at a collective judgment. It could be argued that such a dialogic space represents the ideal situation for the intrapersonal appropriation of the interpersonal—or “internalization”--not only on the conceptual but on the behavioral level, i.e. in the development of habits of both cognitive and behavioral self-control and self-regulation, all of which emerge within the groups’ collective ZPD. </w:t>
      </w:r>
    </w:p>
    <w:p w:rsidR="00E63844" w:rsidRPr="001D5A64" w:rsidRDefault="00E63844" w:rsidP="00E63844">
      <w:pPr>
        <w:widowControl w:val="0"/>
        <w:autoSpaceDE w:val="0"/>
        <w:autoSpaceDN w:val="0"/>
        <w:adjustRightInd w:val="0"/>
        <w:spacing w:after="0" w:line="240" w:lineRule="auto"/>
        <w:rPr>
          <w:rFonts w:cs="Times New Roman"/>
          <w:sz w:val="24"/>
          <w:szCs w:val="24"/>
        </w:rPr>
      </w:pPr>
    </w:p>
    <w:p w:rsidR="00E63844" w:rsidRDefault="00E63844" w:rsidP="00E63844">
      <w:pPr>
        <w:widowControl w:val="0"/>
        <w:autoSpaceDE w:val="0"/>
        <w:autoSpaceDN w:val="0"/>
        <w:adjustRightInd w:val="0"/>
        <w:spacing w:after="0" w:line="240" w:lineRule="auto"/>
        <w:rPr>
          <w:rFonts w:cs="Times New Roman"/>
          <w:sz w:val="24"/>
          <w:szCs w:val="24"/>
        </w:rPr>
      </w:pPr>
      <w:r w:rsidRPr="001D5A64">
        <w:rPr>
          <w:rFonts w:cs="Times New Roman"/>
          <w:sz w:val="24"/>
          <w:szCs w:val="24"/>
        </w:rPr>
        <w:t xml:space="preserve">A key point in Lipman’s approach to philosophical inquiry is the notion, taken from Dewey, that inquiry should begin with a particular experience—in this case a reading from a specially prepared philosophical novel, an exercise, or a list of questions—in order to provoke a unified cognitive event that is impregnated with conflicting ideas, that can prompt students to encounter uncertainty and perplexity, and that motivates them to inquire into the problematic of a situation and to search for its resolution. The agenda of the group discussion is guided by students’ interests, not by the logical organization of the subject matter, which Dewey (1933) insisted was necessary for acquiring intrinsic meaning and understanding. The methodology is founded on the primacy of the students’ questions, induced by the problematic of a </w:t>
      </w:r>
      <w:r w:rsidRPr="001D5A64">
        <w:rPr>
          <w:rFonts w:cs="Times New Roman"/>
          <w:sz w:val="24"/>
          <w:szCs w:val="24"/>
        </w:rPr>
        <w:lastRenderedPageBreak/>
        <w:t>presented stimulus that guides the agenda of inquiry, and the goal is that students’ questions and interventions guide the inquiry process itself. In this case, what is seen and felt as problematic and perplexing in the situation presented by the stimulus must reflect the experiences of the group of students, or as Dewey puts it, the situation must “occasion” the inquiry. Finally, the communal deliberative discussions are natural outgrowths of previous discussions, strategically guided by the teacher-facilitator. The original P4C curriculum</w:t>
      </w:r>
      <w:r w:rsidRPr="001D5A64">
        <w:rPr>
          <w:rStyle w:val="FootnoteReference"/>
          <w:rFonts w:cs="Times New Roman"/>
          <w:sz w:val="24"/>
          <w:szCs w:val="24"/>
        </w:rPr>
        <w:footnoteReference w:id="1"/>
      </w:r>
      <w:r w:rsidRPr="001D5A64">
        <w:rPr>
          <w:rFonts w:cs="Times New Roman"/>
          <w:sz w:val="24"/>
          <w:szCs w:val="24"/>
        </w:rPr>
        <w:t xml:space="preserve"> represents a collection of children’s novels, exercises, and discussion plans designed to provoke philosophical questions, but only insofar as the students can relate to them personally, i.e. through aspects of their own experience, which is based on the proposition that ethical, aesthetic,” political, and other philosophical dimensions underlie most people’s ordinary experience.</w:t>
      </w:r>
    </w:p>
    <w:p w:rsidR="00E63844" w:rsidRPr="001D5A64" w:rsidRDefault="00E63844" w:rsidP="00E63844">
      <w:pPr>
        <w:widowControl w:val="0"/>
        <w:autoSpaceDE w:val="0"/>
        <w:autoSpaceDN w:val="0"/>
        <w:adjustRightInd w:val="0"/>
        <w:spacing w:after="0" w:line="240" w:lineRule="auto"/>
        <w:rPr>
          <w:rFonts w:cs="Times New Roman"/>
          <w:sz w:val="24"/>
          <w:szCs w:val="24"/>
        </w:rPr>
      </w:pPr>
      <w:r w:rsidRPr="001D5A64">
        <w:rPr>
          <w:rFonts w:cs="Times New Roman"/>
          <w:sz w:val="24"/>
          <w:szCs w:val="24"/>
        </w:rPr>
        <w:t xml:space="preserve">  </w:t>
      </w:r>
    </w:p>
    <w:p w:rsidR="00E63844" w:rsidRDefault="00E63844" w:rsidP="00E63844">
      <w:pPr>
        <w:pStyle w:val="NoSpacing"/>
        <w:spacing w:after="0" w:line="240" w:lineRule="auto"/>
        <w:rPr>
          <w:b/>
        </w:rPr>
      </w:pPr>
      <w:r w:rsidRPr="001D5A64">
        <w:rPr>
          <w:b/>
        </w:rPr>
        <w:t>CPI METHODOLOGY AND MATHEMATICAL PRACTICE</w:t>
      </w:r>
    </w:p>
    <w:p w:rsidR="00E63844" w:rsidRPr="001D5A64" w:rsidRDefault="00E63844" w:rsidP="00E63844">
      <w:pPr>
        <w:pStyle w:val="NoSpacing"/>
        <w:spacing w:after="0" w:line="240" w:lineRule="auto"/>
        <w:rPr>
          <w:b/>
        </w:rPr>
      </w:pPr>
    </w:p>
    <w:p w:rsidR="00E63844" w:rsidRDefault="00E63844" w:rsidP="00E63844">
      <w:pPr>
        <w:pStyle w:val="NoSpacing"/>
        <w:spacing w:after="0" w:line="240" w:lineRule="auto"/>
      </w:pPr>
      <w:r w:rsidRPr="001D5A64">
        <w:rPr>
          <w:b/>
        </w:rPr>
        <w:t xml:space="preserve"> </w:t>
      </w:r>
      <w:r w:rsidRPr="001D5A64">
        <w:t xml:space="preserve">The model of the Philosophy for Children program is used here as a general framework for the design and performance of philosophical inquiry in the </w:t>
      </w:r>
      <w:r w:rsidRPr="001D5A64">
        <w:rPr>
          <w:i/>
        </w:rPr>
        <w:t>mathematics</w:t>
      </w:r>
      <w:r w:rsidRPr="001D5A64">
        <w:t xml:space="preserve"> classroom. In the paper, I will offer a few examples of curriculum designed for opening spaces in school-based mathematical practices for philosophical deliberation in a community of inquiry. A combination of mathematical and philosophical perspectives can, I believe, facilitate a deeper and more nuanced</w:t>
      </w:r>
      <w:r w:rsidRPr="001D5A64">
        <w:rPr>
          <w:i/>
        </w:rPr>
        <w:t xml:space="preserve"> </w:t>
      </w:r>
      <w:r w:rsidRPr="001D5A64">
        <w:t>understanding of mathematics per se--its</w:t>
      </w:r>
      <w:r w:rsidRPr="001D5A64">
        <w:rPr>
          <w:i/>
        </w:rPr>
        <w:t xml:space="preserve"> </w:t>
      </w:r>
      <w:r w:rsidRPr="001D5A64">
        <w:t>practical</w:t>
      </w:r>
      <w:r w:rsidRPr="001D5A64">
        <w:rPr>
          <w:i/>
        </w:rPr>
        <w:t xml:space="preserve"> </w:t>
      </w:r>
      <w:r w:rsidRPr="001D5A64">
        <w:t>applications to the world, and its cultural and ethical implications for the individual and for society. The epistemological issues involved with mathematical descriptions and mathematical modeling in particular makes of the latter a prime example of situations in which philosophical inquiry can facilitate a) an understanding among students of the power and the limits of mathematics and mathematical description, b) an understanding of what mathematization—the process of obtaining a mathematical description/model--involves, and c) a critical examination of the assumptions and/or criteria used for judgments made in the course of the mathematization process, and how these judgments affect the end results of mathematical productions. I will offer examples of stimuli designed to foster this critical understanding and enlargement of perspective through engaged philosophical inquiry. They are inspired by Lipman’s chief curricular innovation, which is the use of narrative as opposed to expository texts to introduce philosophical issues and to model the process of philosophical deliberation (Lipman, 2003). The short excerpts below are taken from a philosophical text-in-progress written in story form, associated discussion plans, and other activities that elaborate on the leading ideas in the narrative.</w:t>
      </w:r>
    </w:p>
    <w:p w:rsidR="00E63844" w:rsidRPr="001D5A64" w:rsidRDefault="00E63844" w:rsidP="00E63844">
      <w:pPr>
        <w:pStyle w:val="NoSpacing"/>
        <w:spacing w:after="0" w:line="240" w:lineRule="auto"/>
      </w:pPr>
      <w:r w:rsidRPr="001D5A64">
        <w:t xml:space="preserve"> </w:t>
      </w:r>
    </w:p>
    <w:p w:rsidR="00E63844" w:rsidRDefault="00E63844" w:rsidP="00BA26D5">
      <w:pPr>
        <w:widowControl w:val="0"/>
        <w:autoSpaceDE w:val="0"/>
        <w:autoSpaceDN w:val="0"/>
        <w:adjustRightInd w:val="0"/>
        <w:spacing w:after="0" w:line="240" w:lineRule="auto"/>
        <w:jc w:val="left"/>
        <w:rPr>
          <w:rFonts w:cs="Times New Roman"/>
          <w:b/>
          <w:sz w:val="24"/>
          <w:szCs w:val="24"/>
        </w:rPr>
      </w:pPr>
      <w:r w:rsidRPr="001D5A64">
        <w:rPr>
          <w:rFonts w:cs="Times New Roman"/>
          <w:b/>
          <w:sz w:val="24"/>
          <w:szCs w:val="24"/>
        </w:rPr>
        <w:t>FRAGMENTS FROM A PHILOSOPHICAL TEXT FOR MIDDLE SCHOOL STUDENTS</w:t>
      </w:r>
    </w:p>
    <w:p w:rsidR="00E63844" w:rsidRPr="00BA26D5" w:rsidRDefault="00E63844" w:rsidP="00BA26D5">
      <w:pPr>
        <w:pStyle w:val="NoSpacing"/>
        <w:spacing w:after="0" w:line="240" w:lineRule="auto"/>
      </w:pPr>
    </w:p>
    <w:p w:rsidR="00E63844" w:rsidRDefault="00E63844" w:rsidP="00E63844">
      <w:pPr>
        <w:widowControl w:val="0"/>
        <w:autoSpaceDE w:val="0"/>
        <w:autoSpaceDN w:val="0"/>
        <w:adjustRightInd w:val="0"/>
        <w:spacing w:after="0" w:line="240" w:lineRule="auto"/>
        <w:rPr>
          <w:rFonts w:cs="Times New Roman"/>
          <w:sz w:val="24"/>
          <w:szCs w:val="24"/>
        </w:rPr>
      </w:pPr>
      <w:r w:rsidRPr="001D5A64">
        <w:rPr>
          <w:rFonts w:cs="Times New Roman"/>
          <w:sz w:val="24"/>
          <w:szCs w:val="24"/>
        </w:rPr>
        <w:t xml:space="preserve">Pedagogically, the utilization of narrative, exercises, and discussion plans not only allows for the use of various stimuli, but also functions to “springboard” philosophical inquiry using already developed lists of questions, or asking students to generate their own questions, and then decide on one question to start the inquiry. The teacher might deliberately plan on designating time and space for philosophical inquiry, or it may arise spontaneously from the discussion of a mathematical problem. </w:t>
      </w:r>
    </w:p>
    <w:p w:rsidR="00E63844" w:rsidRPr="001D5A64" w:rsidRDefault="00E63844" w:rsidP="00E63844">
      <w:pPr>
        <w:widowControl w:val="0"/>
        <w:autoSpaceDE w:val="0"/>
        <w:autoSpaceDN w:val="0"/>
        <w:adjustRightInd w:val="0"/>
        <w:spacing w:after="0" w:line="240" w:lineRule="auto"/>
        <w:rPr>
          <w:rFonts w:cs="Times New Roman"/>
          <w:sz w:val="24"/>
          <w:szCs w:val="24"/>
        </w:rPr>
      </w:pPr>
    </w:p>
    <w:p w:rsidR="00E63844" w:rsidRDefault="00E63844" w:rsidP="00E63844">
      <w:pPr>
        <w:widowControl w:val="0"/>
        <w:autoSpaceDE w:val="0"/>
        <w:autoSpaceDN w:val="0"/>
        <w:adjustRightInd w:val="0"/>
        <w:spacing w:after="0" w:line="240" w:lineRule="auto"/>
        <w:rPr>
          <w:rFonts w:cs="Times New Roman"/>
          <w:sz w:val="24"/>
          <w:szCs w:val="24"/>
        </w:rPr>
      </w:pPr>
      <w:r w:rsidRPr="001D5A64">
        <w:rPr>
          <w:rFonts w:cs="Times New Roman"/>
          <w:sz w:val="24"/>
          <w:szCs w:val="24"/>
        </w:rPr>
        <w:t>The short narrative offered below</w:t>
      </w:r>
      <w:r w:rsidRPr="001D5A64">
        <w:rPr>
          <w:rStyle w:val="FootnoteReference"/>
          <w:rFonts w:cs="Times New Roman"/>
          <w:sz w:val="24"/>
          <w:szCs w:val="24"/>
        </w:rPr>
        <w:footnoteReference w:id="2"/>
      </w:r>
      <w:r w:rsidRPr="001D5A64">
        <w:rPr>
          <w:rFonts w:cs="Times New Roman"/>
          <w:sz w:val="24"/>
          <w:szCs w:val="24"/>
        </w:rPr>
        <w:t xml:space="preserve"> is a fragment of a larger work in progress, which is structured according to a set of themes and topics in mathematics that are broadly focused on and related to the middle school mathematics curriculum. These materials can be used as fruitful “interruptions” of the regular curriculum-- opportunities to consider questions related to mathematics from a completely different perspective.  They include discussion plans and other activities that elaborate on the leading ideas in the stories. The discussion plans are made up completely of questions, but questions that are of such a character that they model the questioning process itself for students. In line with the P4C methodology, the ultimate success of the narratives and the discussion plans depends on modeling for students a critical stance whereby they are encouraged to “interrogate mathematics” through critical questioning and reasoned discussion.</w:t>
      </w:r>
    </w:p>
    <w:p w:rsidR="00E63844" w:rsidRPr="001D5A64" w:rsidRDefault="00E63844" w:rsidP="00E63844">
      <w:pPr>
        <w:widowControl w:val="0"/>
        <w:autoSpaceDE w:val="0"/>
        <w:autoSpaceDN w:val="0"/>
        <w:adjustRightInd w:val="0"/>
        <w:spacing w:after="0" w:line="240" w:lineRule="auto"/>
        <w:rPr>
          <w:rFonts w:cs="Times New Roman"/>
          <w:sz w:val="24"/>
          <w:szCs w:val="24"/>
        </w:rPr>
      </w:pPr>
      <w:r w:rsidRPr="001D5A64">
        <w:rPr>
          <w:rFonts w:cs="Times New Roman"/>
          <w:sz w:val="24"/>
          <w:szCs w:val="24"/>
        </w:rPr>
        <w:t xml:space="preserve"> </w:t>
      </w:r>
    </w:p>
    <w:p w:rsidR="00E63844" w:rsidRPr="001D5A64" w:rsidRDefault="00E63844" w:rsidP="00E63844">
      <w:pPr>
        <w:pStyle w:val="NoSpacing"/>
        <w:spacing w:after="0" w:line="240" w:lineRule="auto"/>
        <w:rPr>
          <w:b/>
          <w:i/>
        </w:rPr>
      </w:pPr>
      <w:r w:rsidRPr="001D5A64">
        <w:rPr>
          <w:b/>
          <w:i/>
        </w:rPr>
        <w:t xml:space="preserve">What Can Be Put In Numbers? </w:t>
      </w:r>
    </w:p>
    <w:p w:rsidR="00E63844" w:rsidRPr="001D5A64" w:rsidRDefault="00E63844" w:rsidP="00E63844">
      <w:pPr>
        <w:pStyle w:val="NoSpacing"/>
        <w:spacing w:after="0" w:line="240" w:lineRule="auto"/>
      </w:pPr>
      <w:r w:rsidRPr="001D5A64">
        <w:t xml:space="preserve">“What do numbers matter to what you do, or how the world works?  </w:t>
      </w:r>
      <w:proofErr w:type="gramStart"/>
      <w:r w:rsidRPr="001D5A64">
        <w:t>Trees, for example.</w:t>
      </w:r>
      <w:proofErr w:type="gramEnd"/>
      <w:r w:rsidRPr="001D5A64">
        <w:t xml:space="preserve">  I love trees, and I love to learn the names of them.  It’s gotten so I can recognize them right away, without thinking.  But what can numbers tell me about trees?”</w:t>
      </w:r>
    </w:p>
    <w:p w:rsidR="00E63844" w:rsidRPr="001D5A64" w:rsidRDefault="00E63844" w:rsidP="00E63844">
      <w:pPr>
        <w:pStyle w:val="NoSpacing"/>
        <w:spacing w:after="0" w:line="240" w:lineRule="auto"/>
      </w:pPr>
      <w:r w:rsidRPr="001D5A64">
        <w:tab/>
        <w:t>“Well,” Ted said, “you could probably describe lots of things about those trees with numbers. You could measure how tall they are, how old they are by counting the rings, how big around the trunk is, how much sap flows through it in how long a time, how many wood cells in one square inch of it, what kinds of shapes it takes—I don’t know, all kinds of stuff, probably a lot more.”</w:t>
      </w:r>
    </w:p>
    <w:p w:rsidR="00E63844" w:rsidRPr="001D5A64" w:rsidRDefault="00E63844" w:rsidP="00E63844">
      <w:pPr>
        <w:pStyle w:val="NoSpacing"/>
        <w:spacing w:after="0" w:line="240" w:lineRule="auto"/>
      </w:pPr>
      <w:r w:rsidRPr="001D5A64">
        <w:tab/>
        <w:t>I said, “Maybe you could describe everything that is in the world, and everything that happens in the world, in numbers.  Can you Ms. Kwant?”</w:t>
      </w:r>
    </w:p>
    <w:p w:rsidR="00E63844" w:rsidRPr="001D5A64" w:rsidRDefault="00E63844" w:rsidP="00E63844">
      <w:pPr>
        <w:pStyle w:val="NoSpacing"/>
        <w:spacing w:after="0" w:line="240" w:lineRule="auto"/>
      </w:pPr>
      <w:r w:rsidRPr="001D5A64">
        <w:tab/>
        <w:t>Ms. Kwant looked thoughtful, but she didn’t say anything.</w:t>
      </w:r>
    </w:p>
    <w:p w:rsidR="00E63844" w:rsidRPr="001D5A64" w:rsidRDefault="00E63844" w:rsidP="00E63844">
      <w:pPr>
        <w:pStyle w:val="NoSpacing"/>
        <w:spacing w:after="0" w:line="240" w:lineRule="auto"/>
      </w:pPr>
      <w:r w:rsidRPr="001D5A64">
        <w:tab/>
        <w:t xml:space="preserve">“Yeah!” said Philo.  “That would be </w:t>
      </w:r>
      <w:proofErr w:type="gramStart"/>
      <w:r w:rsidRPr="001D5A64">
        <w:t>like,</w:t>
      </w:r>
      <w:proofErr w:type="gramEnd"/>
      <w:r w:rsidRPr="001D5A64">
        <w:t xml:space="preserve"> the laws of nature are written in the language of mathematics!  Like gravity.  Gravity is a law of nature, and you can write it in mathematics.  And even if there isn’t any connection between math and the world, it’s just really cool—the way it works I mean.  The way everything fits with everything else when you’re in the number world.”</w:t>
      </w:r>
    </w:p>
    <w:p w:rsidR="00E63844" w:rsidRPr="001D5A64" w:rsidRDefault="00E63844" w:rsidP="00E63844">
      <w:pPr>
        <w:pStyle w:val="NoSpacing"/>
        <w:spacing w:after="0" w:line="240" w:lineRule="auto"/>
      </w:pPr>
      <w:r w:rsidRPr="001D5A64">
        <w:tab/>
        <w:t>Philo grinned at Antonio—he was just trying to cheer him up!--, but Antonio shook his head and stared at the floor</w:t>
      </w:r>
      <w:proofErr w:type="gramStart"/>
      <w:r w:rsidRPr="001D5A64">
        <w:t>.“</w:t>
      </w:r>
      <w:proofErr w:type="gramEnd"/>
      <w:r w:rsidRPr="001D5A64">
        <w:t xml:space="preserve"> But how can numbers match my feelings?” Nora said. “Can they describe how calm I feel, or measure how happy I am to see my friend Bessy after a whole year?” </w:t>
      </w:r>
    </w:p>
    <w:p w:rsidR="00E63844" w:rsidRPr="001D5A64" w:rsidRDefault="00E63844" w:rsidP="00E63844">
      <w:pPr>
        <w:pStyle w:val="NoSpacing"/>
        <w:spacing w:after="0" w:line="240" w:lineRule="auto"/>
      </w:pPr>
      <w:r w:rsidRPr="001D5A64">
        <w:tab/>
        <w:t xml:space="preserve"> “Of course they can” Francesca said. “People do all kinds of surveys on happiness, or satisfaction, or how much you like someone.”</w:t>
      </w:r>
    </w:p>
    <w:p w:rsidR="00E63844" w:rsidRPr="001D5A64" w:rsidRDefault="00E63844" w:rsidP="00E63844">
      <w:pPr>
        <w:pStyle w:val="NoSpacing"/>
        <w:spacing w:after="0" w:line="240" w:lineRule="auto"/>
      </w:pPr>
      <w:r w:rsidRPr="001D5A64">
        <w:tab/>
        <w:t xml:space="preserve">Marilena laughed. “I have a little robot in my pocket,” she said.  “He calls himself an ‘affection measuring device’—AMD for short. I take him out of my pocket . . .” Marilena reached in her jeans and pretended to take something out and hold it against her heart.  “Hmm, it says </w:t>
      </w:r>
      <w:proofErr w:type="gramStart"/>
      <w:r w:rsidRPr="001D5A64">
        <w:t>. .</w:t>
      </w:r>
      <w:proofErr w:type="gramEnd"/>
      <w:r w:rsidRPr="001D5A64">
        <w:t xml:space="preserve"> “  She made her voice sound like one of those machine voices on the telephone, when you call a big company.  “‘Affection level Sean—5.  Affection level Tom—7’ . . . .  So I say, hmm, that means I go play with my friend Tom today.”  She laughed again.</w:t>
      </w:r>
    </w:p>
    <w:p w:rsidR="00E63844" w:rsidRPr="001D5A64" w:rsidRDefault="00E63844" w:rsidP="00E63844">
      <w:pPr>
        <w:pStyle w:val="NoSpacing"/>
        <w:spacing w:after="0" w:line="240" w:lineRule="auto"/>
      </w:pPr>
      <w:r w:rsidRPr="001D5A64">
        <w:tab/>
        <w:t>“Yeah,” Nessim said, “I’ve got an app on my phone that does that!”</w:t>
      </w:r>
    </w:p>
    <w:p w:rsidR="00E63844" w:rsidRPr="001D5A64" w:rsidRDefault="00E63844" w:rsidP="00E63844">
      <w:pPr>
        <w:pStyle w:val="NoSpacing"/>
        <w:spacing w:after="0" w:line="240" w:lineRule="auto"/>
      </w:pPr>
      <w:r w:rsidRPr="001D5A64">
        <w:tab/>
        <w:t xml:space="preserve">“No but really,” Francesca said, “surveys do work you know.  Like </w:t>
      </w:r>
      <w:proofErr w:type="gramStart"/>
      <w:r w:rsidRPr="001D5A64">
        <w:t>who’s</w:t>
      </w:r>
      <w:proofErr w:type="gramEnd"/>
      <w:r w:rsidRPr="001D5A64">
        <w:t xml:space="preserve"> the most popular one running for president or things like that.”</w:t>
      </w:r>
    </w:p>
    <w:p w:rsidR="00E63844" w:rsidRPr="001D5A64" w:rsidRDefault="00E63844" w:rsidP="00E63844">
      <w:pPr>
        <w:pStyle w:val="NoSpacing"/>
        <w:spacing w:after="0" w:line="240" w:lineRule="auto"/>
      </w:pPr>
      <w:r w:rsidRPr="001D5A64">
        <w:lastRenderedPageBreak/>
        <w:tab/>
        <w:t>“They tell us something, but how much, really?  And how do you know they aren’t lying anyway?” Antonio said.</w:t>
      </w:r>
    </w:p>
    <w:p w:rsidR="00E63844" w:rsidRPr="001D5A64" w:rsidRDefault="00E63844" w:rsidP="00E63844">
      <w:pPr>
        <w:pStyle w:val="NoSpacing"/>
        <w:spacing w:after="0" w:line="240" w:lineRule="auto"/>
      </w:pPr>
      <w:r w:rsidRPr="001D5A64">
        <w:tab/>
        <w:t>The bell rang. “Oh dear, said Ms Kwant.  I meant to spend the last 10 minutes talking about the test for tomorrow.  Anyway, any questions, email me, OK?”</w:t>
      </w:r>
    </w:p>
    <w:p w:rsidR="00E63844" w:rsidRDefault="00E63844" w:rsidP="00E63844">
      <w:pPr>
        <w:pStyle w:val="NoSpacing"/>
        <w:spacing w:after="0" w:line="240" w:lineRule="auto"/>
      </w:pPr>
      <w:r w:rsidRPr="001D5A64">
        <w:tab/>
        <w:t xml:space="preserve">Philo stood up with that silly grin on his face. He started to make his whole body tremble. “Oh no!” he squawked.  “Look at my fear-ometer!  Oh my God!  It’s going up and up—and up.  OMG!  </w:t>
      </w:r>
      <w:proofErr w:type="gramStart"/>
      <w:r w:rsidRPr="001D5A64">
        <w:t>Through the roof!”</w:t>
      </w:r>
      <w:proofErr w:type="gramEnd"/>
      <w:r w:rsidRPr="001D5A64">
        <w:t xml:space="preserve">  And he hopped out of the room like a kangaroo.  Go figure!”</w:t>
      </w:r>
    </w:p>
    <w:p w:rsidR="00E63844" w:rsidRPr="001D5A64" w:rsidRDefault="00E63844" w:rsidP="00E63844">
      <w:pPr>
        <w:pStyle w:val="NoSpacing"/>
        <w:spacing w:after="0" w:line="240" w:lineRule="auto"/>
      </w:pPr>
    </w:p>
    <w:p w:rsidR="00E63844" w:rsidRDefault="00E63844" w:rsidP="00E63844">
      <w:pPr>
        <w:pStyle w:val="NoSpacing"/>
        <w:spacing w:after="0" w:line="240" w:lineRule="auto"/>
      </w:pPr>
      <w:r w:rsidRPr="001D5A64">
        <w:t>Usually the reading of the story is followed by students posing their own questions related to the story theme, and on the basis of one of them, the facilitator initiates a discussion.  The discussion can be preceded by work on an exercise like the following:</w:t>
      </w:r>
    </w:p>
    <w:p w:rsidR="00E63844" w:rsidRPr="001D5A64" w:rsidRDefault="00E63844" w:rsidP="00E63844">
      <w:pPr>
        <w:pStyle w:val="NoSpacing"/>
        <w:spacing w:after="0" w:line="240" w:lineRule="auto"/>
        <w:rPr>
          <w:rFonts w:eastAsia="Times New Roman"/>
        </w:rPr>
      </w:pPr>
    </w:p>
    <w:p w:rsidR="00E63844" w:rsidRPr="001D5A64" w:rsidRDefault="00E63844" w:rsidP="00E63844">
      <w:pPr>
        <w:pStyle w:val="NoSpacing"/>
        <w:spacing w:after="0" w:line="240" w:lineRule="auto"/>
      </w:pPr>
      <w:r w:rsidRPr="001D5A64">
        <w:rPr>
          <w:b/>
        </w:rPr>
        <w:t>Exercise 1:</w:t>
      </w:r>
      <w:r w:rsidRPr="001D5A64">
        <w:t xml:space="preserve"> Choose one thing from the list below and try to answer the two questions: 1) Can these things be described mathematically? 2) If so, how would one go about it?</w:t>
      </w:r>
    </w:p>
    <w:p w:rsidR="00E63844" w:rsidRDefault="00E63844" w:rsidP="00E63844">
      <w:pPr>
        <w:pStyle w:val="NoSpacing"/>
        <w:spacing w:after="0" w:line="240" w:lineRule="auto"/>
      </w:pPr>
      <w:r w:rsidRPr="001D5A64">
        <w:t>A barn; A dance; A soccer game; A card game; The game of chess; A human life; A conversation; A rabbit warren; The economy; An election campaign; A thunderstorm; A dream; Personal “coolness”; Happiness; Anxiety.</w:t>
      </w:r>
    </w:p>
    <w:p w:rsidR="00E63844" w:rsidRPr="001D5A64" w:rsidRDefault="00E63844" w:rsidP="00E63844">
      <w:pPr>
        <w:pStyle w:val="NoSpacing"/>
        <w:spacing w:after="0" w:line="240" w:lineRule="auto"/>
      </w:pPr>
    </w:p>
    <w:p w:rsidR="00E63844" w:rsidRDefault="00E63844" w:rsidP="00E63844">
      <w:pPr>
        <w:pStyle w:val="NoSpacing"/>
        <w:spacing w:after="0" w:line="240" w:lineRule="auto"/>
      </w:pPr>
      <w:r w:rsidRPr="001D5A64">
        <w:t xml:space="preserve">The purpose of this exercise is to expose the differences between mathematizing phenomena from the physical world, like a barn, or a dance, and constructs like “coolness” and even happiness or anxiety. Its effect is to help us see that mathematics can be an appropriate tool for describing and studying the former, but not as good for studying the internal human world—human emotions, beliefs, knowledge, understanding, hopes, etc.  </w:t>
      </w:r>
    </w:p>
    <w:p w:rsidR="00E63844" w:rsidRPr="001D5A64" w:rsidRDefault="00E63844" w:rsidP="00E63844">
      <w:pPr>
        <w:pStyle w:val="NoSpacing"/>
        <w:spacing w:after="0" w:line="240" w:lineRule="auto"/>
      </w:pPr>
    </w:p>
    <w:p w:rsidR="00E63844" w:rsidRDefault="00E63844" w:rsidP="00E63844">
      <w:pPr>
        <w:pStyle w:val="NoSpacing"/>
        <w:spacing w:after="0" w:line="240" w:lineRule="auto"/>
      </w:pPr>
      <w:r w:rsidRPr="001D5A64">
        <w:t xml:space="preserve">Finally, my paper will offer examples of exercises designed to lead to engaged philosophical inquiry into the areas of ontology and epistemology of mathematics. Such exercises raise and attempt to instantiate such questions as </w:t>
      </w:r>
      <w:r w:rsidRPr="001D5A64">
        <w:rPr>
          <w:rFonts w:eastAsia="Times New Roman"/>
        </w:rPr>
        <w:t xml:space="preserve">“Where is mathematics? Where does it come from? Is it discovered or invented. </w:t>
      </w:r>
      <w:r w:rsidRPr="001D5A64">
        <w:t>Asking those questions can transgress the artificial barriers of what is and what is not discussed in math class, and direct students’ inquiry to the origins of the discipline.</w:t>
      </w:r>
    </w:p>
    <w:p w:rsidR="00E63844" w:rsidRPr="001D5A64" w:rsidRDefault="00E63844" w:rsidP="00E63844">
      <w:pPr>
        <w:pStyle w:val="NoSpacing"/>
        <w:spacing w:after="0" w:line="240" w:lineRule="auto"/>
      </w:pPr>
    </w:p>
    <w:p w:rsidR="00E63844" w:rsidRDefault="00E63844" w:rsidP="00E63844">
      <w:pPr>
        <w:pStyle w:val="NoSpacing"/>
        <w:spacing w:after="0" w:line="240" w:lineRule="auto"/>
      </w:pPr>
      <w:r w:rsidRPr="001D5A64">
        <w:rPr>
          <w:b/>
        </w:rPr>
        <w:t xml:space="preserve">Exercise 2: The world and the mind. </w:t>
      </w:r>
      <w:r w:rsidRPr="001D5A64">
        <w:t>Where are the following? 1) Just in the mind; 2) Just in the outside world; 3) In both the mind and the world; 4) In neither the mind nor the world: Images; Words; Thoughts; Sounds; Smells; Tastes; Love; Cats; Mickey Mouse; Light; Numbers; Circles, Squares, Mathematical formulas.</w:t>
      </w:r>
    </w:p>
    <w:p w:rsidR="00E63844" w:rsidRPr="001D5A64" w:rsidRDefault="00E63844" w:rsidP="00E63844">
      <w:pPr>
        <w:pStyle w:val="NoSpacing"/>
        <w:spacing w:after="0" w:line="240" w:lineRule="auto"/>
      </w:pPr>
    </w:p>
    <w:p w:rsidR="00E63844" w:rsidRDefault="00E63844" w:rsidP="00E63844">
      <w:pPr>
        <w:pStyle w:val="NoSpacing"/>
        <w:spacing w:after="0" w:line="240" w:lineRule="auto"/>
      </w:pPr>
      <w:r w:rsidRPr="001D5A64">
        <w:t>In the discussion plan we leave directly mathematical concepts like circles, squares, triangles, and formulae for the very end, in hopes that children would begin with more concrete examples, which would act to ground and distinguish those more abstract concepts that followed.</w:t>
      </w:r>
    </w:p>
    <w:p w:rsidR="00E63844" w:rsidRPr="001D5A64" w:rsidRDefault="00E63844" w:rsidP="00E63844">
      <w:pPr>
        <w:pStyle w:val="NoSpacing"/>
        <w:spacing w:after="0" w:line="240" w:lineRule="auto"/>
      </w:pPr>
      <w:r w:rsidRPr="001D5A64">
        <w:t xml:space="preserve"> </w:t>
      </w:r>
    </w:p>
    <w:p w:rsidR="00E63844" w:rsidRDefault="00E63844" w:rsidP="00E63844">
      <w:pPr>
        <w:pStyle w:val="NoSpacing"/>
        <w:spacing w:after="0" w:line="240" w:lineRule="auto"/>
      </w:pPr>
      <w:r w:rsidRPr="001D5A64">
        <w:rPr>
          <w:b/>
        </w:rPr>
        <w:t xml:space="preserve">Exercise 3: Are these things invented or discovered? </w:t>
      </w:r>
      <w:r w:rsidRPr="001D5A64">
        <w:t>Soap; The family; Human conflict; Your thoughts; Feelings; Electricity; A theory; Sports; History; Numbers; Circles, Squares and triangles; Graphs; Formulas; Mathematics.</w:t>
      </w:r>
    </w:p>
    <w:p w:rsidR="00E63844" w:rsidRPr="001D5A64" w:rsidRDefault="00E63844" w:rsidP="00E63844">
      <w:pPr>
        <w:pStyle w:val="NoSpacing"/>
        <w:spacing w:after="0" w:line="240" w:lineRule="auto"/>
        <w:rPr>
          <w:b/>
        </w:rPr>
      </w:pPr>
    </w:p>
    <w:p w:rsidR="00E63844" w:rsidRDefault="00E63844" w:rsidP="00E63844">
      <w:pPr>
        <w:pStyle w:val="NoSpacing"/>
        <w:spacing w:after="0" w:line="240" w:lineRule="auto"/>
      </w:pPr>
      <w:r w:rsidRPr="001D5A64">
        <w:t xml:space="preserve">Again, this exercise leads us to think about invention and discovery starting in the context of more concrete examples, and moves to more abstract terms such as numbers and mathematical formulas.  In the course of the deliberation, clarification of what “invention” </w:t>
      </w:r>
      <w:r w:rsidRPr="001D5A64">
        <w:lastRenderedPageBreak/>
        <w:t xml:space="preserve">and “discovery” mean inevitably becomes necessary, although most students do have an intuitive sense of what those terms mean. </w:t>
      </w:r>
    </w:p>
    <w:p w:rsidR="00E63844" w:rsidRPr="001D5A64" w:rsidRDefault="00E63844" w:rsidP="00E63844">
      <w:pPr>
        <w:pStyle w:val="NoSpacing"/>
        <w:spacing w:after="0" w:line="240" w:lineRule="auto"/>
      </w:pPr>
    </w:p>
    <w:p w:rsidR="00E63844" w:rsidRDefault="00E63844" w:rsidP="00E63844">
      <w:pPr>
        <w:pStyle w:val="NoSpacing"/>
        <w:spacing w:after="0" w:line="240" w:lineRule="auto"/>
      </w:pPr>
      <w:r w:rsidRPr="001D5A64">
        <w:t xml:space="preserve">The discussions that result from these exercises can be a way of getting students to critically examine viewpoints absorbed from parents, media and school, whose basic message is often: “Mathematics is everywhere and it is all-powerful. It can be used successfully in every single aspect of our lives.” Participating in discussions that untangle multiple examples, perspectives and ideas voiced by peers can help students develop more personal views about mathematics, help them understand that mathematics has limits like any other human tool, and give them an opportunity to explore some of those limits. </w:t>
      </w:r>
    </w:p>
    <w:p w:rsidR="00E63844" w:rsidRPr="001D5A64" w:rsidRDefault="00E63844" w:rsidP="00E63844">
      <w:pPr>
        <w:pStyle w:val="NoSpacing"/>
        <w:spacing w:after="0" w:line="240" w:lineRule="auto"/>
      </w:pPr>
    </w:p>
    <w:p w:rsidR="00E63844" w:rsidRDefault="00E63844" w:rsidP="00E63844">
      <w:pPr>
        <w:pStyle w:val="NoSpacing"/>
        <w:spacing w:after="0" w:line="240" w:lineRule="auto"/>
      </w:pPr>
      <w:r w:rsidRPr="001D5A64">
        <w:t xml:space="preserve">One could go further. Does mathematical knowledge of the world and the adoption of a mathematical approach to studying and understanding the world actually inhibit or distract us from other, equally (or in some cases more) powerful forms of knowledge? Is mathematics always the one best way to understand the world?  Is it a way to understand ourselves?  Is there anything that it might miss? Mathematics students commonly question its usefulness, which is related, in turn, to its evident relation to the lived world that we all inhabit in more or less the same spatio-temporal way. My goal is to encourage questions that go deeper than the uses of mathematics for financial calculations or designing a new roof of a house—questions which stimulate inquiry that critically explores our culturally constructed and transmitted beliefs and assumptions about mathematics, and thus lead to greater awareness about its power and limitation. I believe that such inquiry acts to heighten awareness of the traps into which we may fall if we blindly trust someone else’s uses of mathematics to make arguments for or against any number of policies or actions in the world. </w:t>
      </w:r>
    </w:p>
    <w:p w:rsidR="00E63844" w:rsidRPr="001D5A64" w:rsidRDefault="00E63844" w:rsidP="00E63844">
      <w:pPr>
        <w:pStyle w:val="NoSpacing"/>
        <w:spacing w:after="0" w:line="240" w:lineRule="auto"/>
      </w:pPr>
    </w:p>
    <w:p w:rsidR="00E63844" w:rsidRDefault="00E63844" w:rsidP="00E63844">
      <w:pPr>
        <w:pStyle w:val="NoSpacing"/>
        <w:spacing w:after="0" w:line="240" w:lineRule="auto"/>
      </w:pPr>
      <w:r w:rsidRPr="001D5A64">
        <w:t>Finally, the examples offered in this exercise act to span different disciplinary areas, and thereby not only bridge different dimensions of human experience, but encourage students to understand mathematics as a form of meaning making with basic similarities to meaning making in the physical and social sciences, history, sport and so on.</w:t>
      </w:r>
    </w:p>
    <w:p w:rsidR="00E63844" w:rsidRPr="001D5A64" w:rsidRDefault="00E63844" w:rsidP="00E63844">
      <w:pPr>
        <w:pStyle w:val="NoSpacing"/>
        <w:spacing w:after="0" w:line="240" w:lineRule="auto"/>
      </w:pPr>
    </w:p>
    <w:p w:rsidR="00E63844" w:rsidRDefault="00E63844" w:rsidP="00E63844">
      <w:pPr>
        <w:pStyle w:val="NoSpacing"/>
        <w:spacing w:after="0" w:line="240" w:lineRule="auto"/>
        <w:rPr>
          <w:b/>
        </w:rPr>
      </w:pPr>
      <w:r w:rsidRPr="001D5A64">
        <w:rPr>
          <w:b/>
        </w:rPr>
        <w:t>CONCLUSION</w:t>
      </w:r>
    </w:p>
    <w:p w:rsidR="00E63844" w:rsidRPr="001D5A64" w:rsidRDefault="00E63844" w:rsidP="00E63844">
      <w:pPr>
        <w:pStyle w:val="NoSpacing"/>
        <w:spacing w:after="0" w:line="240" w:lineRule="auto"/>
        <w:rPr>
          <w:b/>
        </w:rPr>
      </w:pPr>
    </w:p>
    <w:p w:rsidR="00E63844" w:rsidRDefault="00E63844" w:rsidP="00E63844">
      <w:pPr>
        <w:widowControl w:val="0"/>
        <w:autoSpaceDE w:val="0"/>
        <w:autoSpaceDN w:val="0"/>
        <w:adjustRightInd w:val="0"/>
        <w:spacing w:after="0" w:line="240" w:lineRule="auto"/>
        <w:rPr>
          <w:rFonts w:cs="Times New Roman"/>
          <w:sz w:val="24"/>
          <w:szCs w:val="24"/>
        </w:rPr>
      </w:pPr>
      <w:r w:rsidRPr="001D5A64">
        <w:rPr>
          <w:rFonts w:cs="Times New Roman"/>
          <w:sz w:val="24"/>
          <w:szCs w:val="24"/>
        </w:rPr>
        <w:t xml:space="preserve">Opening a space for philosophical inquiry in the context of communal, dialogical deliberation with peers may function not only to bridge students’ school mathematical experience and their experiences outside of school, but also feed and regenerate students’ curiosity towards mathematics. School mathematical practices are notorious for producing student apathy in the math classroom, math phobias and negative attitudes among a significant number of students (see, e.g., Tobias, 1993). Research into this phenomenon proposes that this is a result of ignoring students’ interests, a pedagogy based on routine, the dominance of trivial activities and tasks, the increasing disconnection of the subject matter from students’ everyday knowledge and experience, and the perceived irrelevance of math to students’ lives (see, e.g., Wells, 1999; Boaler, 2002). The goal of communal philosophical dialogue is to foster what John Dewey called “intellectual curiosity”--which Paolo Freire (2000) termed “epistemological curiosity”--and which may be described as an interest, not just in what one knows, but also in how one knows it. On both Dewey’s and Freire’s accounts, students’ natural curiosity requires stimulation and nurturance in order to develop in the direction of ongoing inquiry, not just about the world and their place in it, but about the powers and limits of their own thinking. </w:t>
      </w:r>
    </w:p>
    <w:p w:rsidR="00E63844" w:rsidRPr="001D5A64" w:rsidRDefault="00E63844" w:rsidP="00E63844">
      <w:pPr>
        <w:widowControl w:val="0"/>
        <w:autoSpaceDE w:val="0"/>
        <w:autoSpaceDN w:val="0"/>
        <w:adjustRightInd w:val="0"/>
        <w:spacing w:after="0" w:line="240" w:lineRule="auto"/>
        <w:rPr>
          <w:rFonts w:cs="Times New Roman"/>
          <w:b/>
          <w:sz w:val="24"/>
          <w:szCs w:val="24"/>
        </w:rPr>
      </w:pPr>
    </w:p>
    <w:p w:rsidR="00E63844" w:rsidRDefault="00E63844" w:rsidP="00E63844">
      <w:pPr>
        <w:widowControl w:val="0"/>
        <w:autoSpaceDE w:val="0"/>
        <w:autoSpaceDN w:val="0"/>
        <w:adjustRightInd w:val="0"/>
        <w:spacing w:after="0" w:line="240" w:lineRule="auto"/>
        <w:rPr>
          <w:rFonts w:cs="Times New Roman"/>
          <w:sz w:val="24"/>
          <w:szCs w:val="24"/>
        </w:rPr>
      </w:pPr>
      <w:r w:rsidRPr="001D5A64">
        <w:rPr>
          <w:rFonts w:cs="Times New Roman"/>
          <w:sz w:val="24"/>
          <w:szCs w:val="24"/>
        </w:rPr>
        <w:t xml:space="preserve">Engaged philosophical inquiry in the classroom, regularly undertaken, promises to create a </w:t>
      </w:r>
      <w:r w:rsidRPr="001D5A64">
        <w:rPr>
          <w:rFonts w:cs="Times New Roman"/>
          <w:sz w:val="24"/>
          <w:szCs w:val="24"/>
        </w:rPr>
        <w:lastRenderedPageBreak/>
        <w:t>shared space between the culture of learning and the student, where she, together with others in a structured and disciplined collaborative environment of ongoing deliberation, can make sense of the relation between the material and the social worlds and the world of ideas that she encounters in the classroom. In this transitional space, students are afforded the cognitive leisure necessary to play with ideas apart from their production values (whether on test scores or of identified “skills”), and in the process become more aware that mathematics is at its base a sense-making process, and that it is one language among many; that mathematizing require interpretation of a given situation; and that any inferences made in the process of mathematization are based on implicit or explicit assumptions that call for examination.</w:t>
      </w:r>
    </w:p>
    <w:p w:rsidR="00E63844" w:rsidRPr="001D5A64" w:rsidRDefault="00E63844" w:rsidP="00E63844">
      <w:pPr>
        <w:widowControl w:val="0"/>
        <w:autoSpaceDE w:val="0"/>
        <w:autoSpaceDN w:val="0"/>
        <w:adjustRightInd w:val="0"/>
        <w:spacing w:after="0" w:line="240" w:lineRule="auto"/>
        <w:rPr>
          <w:rFonts w:cs="Times New Roman"/>
          <w:sz w:val="24"/>
          <w:szCs w:val="24"/>
        </w:rPr>
      </w:pPr>
    </w:p>
    <w:p w:rsidR="00E63844" w:rsidRDefault="00E63844" w:rsidP="00E63844">
      <w:pPr>
        <w:widowControl w:val="0"/>
        <w:autoSpaceDE w:val="0"/>
        <w:autoSpaceDN w:val="0"/>
        <w:adjustRightInd w:val="0"/>
        <w:spacing w:after="0" w:line="240" w:lineRule="auto"/>
        <w:rPr>
          <w:rFonts w:cs="Times New Roman"/>
          <w:sz w:val="24"/>
          <w:szCs w:val="24"/>
        </w:rPr>
      </w:pPr>
      <w:r w:rsidRPr="001D5A64">
        <w:rPr>
          <w:rFonts w:cs="Times New Roman"/>
          <w:sz w:val="24"/>
          <w:szCs w:val="24"/>
        </w:rPr>
        <w:t xml:space="preserve">Without such a critical reading of mathematics—an “outside” view that complements the mathematical descriptions that we use or produce to understand the world--there is an obvious danger that our students become uncritical and passive users and consumers of mathematics, with little or no understanding of the world-view it reinforces, and with no critical competence to judge mathematical productions, many of which lead to the creation of misguided and dysfunctional material and social productions in the real world--whether buildings, dams, infrastructure or other forms of large scale human organization. A narrow reading of mathematics can facilitate “misrecognitions” (Bourdieu, 1977) about the objectivity of mathematics and the role it play in society. Such misrecognitions are far from innocent, for they become accomplices in the development of student identities that, as they struggle to figure out the world they participate in, orient them towards positions of disempowerment and passivity. </w:t>
      </w:r>
    </w:p>
    <w:p w:rsidR="00E63844" w:rsidRPr="001D5A64" w:rsidRDefault="00E63844" w:rsidP="00E63844">
      <w:pPr>
        <w:widowControl w:val="0"/>
        <w:autoSpaceDE w:val="0"/>
        <w:autoSpaceDN w:val="0"/>
        <w:adjustRightInd w:val="0"/>
        <w:spacing w:after="0" w:line="240" w:lineRule="auto"/>
        <w:rPr>
          <w:rFonts w:cs="Times New Roman"/>
          <w:sz w:val="24"/>
          <w:szCs w:val="24"/>
        </w:rPr>
      </w:pPr>
    </w:p>
    <w:p w:rsidR="00E63844" w:rsidRDefault="00E63844" w:rsidP="00E63844">
      <w:pPr>
        <w:spacing w:after="0" w:line="240" w:lineRule="auto"/>
        <w:rPr>
          <w:rFonts w:eastAsia="Times New Roman" w:cs="Times New Roman"/>
          <w:sz w:val="24"/>
          <w:szCs w:val="24"/>
          <w:shd w:val="clear" w:color="auto" w:fill="FFFFFF"/>
        </w:rPr>
      </w:pPr>
      <w:r w:rsidRPr="001D5A64">
        <w:rPr>
          <w:rFonts w:eastAsia="Times New Roman" w:cs="Times New Roman"/>
          <w:sz w:val="24"/>
          <w:szCs w:val="24"/>
          <w:shd w:val="clear" w:color="auto" w:fill="FFFFFF"/>
        </w:rPr>
        <w:t xml:space="preserve">In order to counter this process of culturally induced learned helplessness, there is a clear need for opening </w:t>
      </w:r>
      <w:r w:rsidRPr="001D5A64">
        <w:rPr>
          <w:rFonts w:cs="Times New Roman"/>
          <w:sz w:val="24"/>
          <w:szCs w:val="24"/>
        </w:rPr>
        <w:t>new spaces in mathematics classroom practice (Maier, Seligman, 1976). Philosophical dialogue</w:t>
      </w:r>
      <w:r w:rsidRPr="001D5A64">
        <w:rPr>
          <w:rFonts w:eastAsia="Times New Roman" w:cs="Times New Roman"/>
          <w:sz w:val="24"/>
          <w:szCs w:val="24"/>
          <w:shd w:val="clear" w:color="auto" w:fill="FFFFFF"/>
        </w:rPr>
        <w:t xml:space="preserve"> can act as an “epistemological wedge” for a counterpoint perspective, in order to bring into view what is other and outside of the strict mathematical vision of the world, and thus make possible a “binocular vision” through which to understand the meanings emerging in the potentially deliberative community of the classroom (Bateson, 2002). In such a community, the discourses of mathematical and philosophical inquiry are not set in opposition to each other, but rather enter into conversation, in the interest of achieving a wider perspective, and of empowering students to, following Kant’s dictum, think “for themselves and with others” (Kennedy, 1999). </w:t>
      </w:r>
    </w:p>
    <w:p w:rsidR="00E63844" w:rsidRDefault="00E63844" w:rsidP="00E63844">
      <w:pPr>
        <w:spacing w:after="0" w:line="240" w:lineRule="auto"/>
        <w:rPr>
          <w:rFonts w:eastAsia="Times New Roman" w:cs="Times New Roman"/>
          <w:sz w:val="24"/>
          <w:szCs w:val="24"/>
          <w:shd w:val="clear" w:color="auto" w:fill="FFFFFF"/>
        </w:rPr>
      </w:pPr>
    </w:p>
    <w:p w:rsidR="00E63844" w:rsidRDefault="00E63844" w:rsidP="00E63844">
      <w:pPr>
        <w:spacing w:after="0" w:line="240" w:lineRule="auto"/>
        <w:rPr>
          <w:rFonts w:eastAsia="Times New Roman" w:cs="Times New Roman"/>
          <w:sz w:val="24"/>
          <w:szCs w:val="24"/>
          <w:shd w:val="clear" w:color="auto" w:fill="FFFFFF"/>
        </w:rPr>
      </w:pPr>
      <w:r w:rsidRPr="001D5A64">
        <w:rPr>
          <w:rFonts w:eastAsia="Times New Roman" w:cs="Times New Roman"/>
          <w:sz w:val="24"/>
          <w:szCs w:val="24"/>
          <w:shd w:val="clear" w:color="auto" w:fill="FFFFFF"/>
        </w:rPr>
        <w:t xml:space="preserve">This undoubtedly renders the roles of the teacher and the students more ambiguous and complex, and the task of delivering the curriculum more complex. Sometimes it means welcoming emergent meanings and discussion trajectories that follow no predetermined ends, in the collective search for a shared mathematical practice that is more connected and relevant to students’ and teachers’ life experience. For teachers, it means learning to foster what Belenky et al. (1986) call “connected knowing,” and to encourage the development of students’ agency through empowering </w:t>
      </w:r>
      <w:r w:rsidRPr="001D5A64">
        <w:rPr>
          <w:rFonts w:cs="Times New Roman"/>
          <w:sz w:val="24"/>
          <w:szCs w:val="24"/>
        </w:rPr>
        <w:t>them to ask questions, construct arguments, and engage in reasoned discussion</w:t>
      </w:r>
      <w:r w:rsidRPr="001D5A64">
        <w:rPr>
          <w:rFonts w:eastAsia="Times New Roman" w:cs="Times New Roman"/>
          <w:sz w:val="24"/>
          <w:szCs w:val="24"/>
          <w:shd w:val="clear" w:color="auto" w:fill="FFFFFF"/>
        </w:rPr>
        <w:t>. Philosophical and mathematical dialogue are bound to refer to each other and become entangled in complicated encounters and recursive iterations. Their boundaries are permeable, and in the process of group dialogue, the two can interact both as a result of constructed transitions as well as spontaneous slippages between the two. This anyway is one way to imagine the conversation between the two, which is a complicated one, but which I see as a more enriching, empowering, and ecologically sound approach to mathematical learning and knowing.</w:t>
      </w:r>
    </w:p>
    <w:p w:rsidR="00E63844" w:rsidRPr="001D5A64" w:rsidRDefault="00E63844" w:rsidP="00E63844">
      <w:pPr>
        <w:spacing w:after="0" w:line="240" w:lineRule="auto"/>
        <w:rPr>
          <w:rFonts w:eastAsia="Times New Roman" w:cs="Times New Roman"/>
          <w:sz w:val="24"/>
          <w:szCs w:val="24"/>
          <w:shd w:val="clear" w:color="auto" w:fill="FFFFFF"/>
        </w:rPr>
      </w:pPr>
      <w:r w:rsidRPr="001D5A64">
        <w:rPr>
          <w:rFonts w:eastAsia="Times New Roman" w:cs="Times New Roman"/>
          <w:sz w:val="24"/>
          <w:szCs w:val="24"/>
          <w:shd w:val="clear" w:color="auto" w:fill="FFFFFF"/>
        </w:rPr>
        <w:t xml:space="preserve"> </w:t>
      </w:r>
    </w:p>
    <w:p w:rsidR="00E63844" w:rsidRDefault="00E63844" w:rsidP="00E63844">
      <w:pPr>
        <w:spacing w:after="0" w:line="240" w:lineRule="auto"/>
        <w:ind w:left="720" w:hanging="720"/>
        <w:rPr>
          <w:rFonts w:cs="Times New Roman"/>
          <w:b/>
          <w:sz w:val="24"/>
          <w:szCs w:val="24"/>
        </w:rPr>
      </w:pPr>
      <w:r w:rsidRPr="001D5A64">
        <w:rPr>
          <w:rFonts w:cs="Times New Roman"/>
          <w:b/>
          <w:sz w:val="24"/>
          <w:szCs w:val="24"/>
        </w:rPr>
        <w:t>References</w:t>
      </w:r>
    </w:p>
    <w:p w:rsidR="00E63844" w:rsidRPr="001D5A64" w:rsidRDefault="00E63844" w:rsidP="00E63844">
      <w:pPr>
        <w:spacing w:after="0" w:line="240" w:lineRule="auto"/>
        <w:ind w:left="720" w:hanging="720"/>
        <w:rPr>
          <w:rFonts w:cs="Times New Roman"/>
          <w:b/>
          <w:sz w:val="24"/>
          <w:szCs w:val="24"/>
        </w:rPr>
      </w:pPr>
    </w:p>
    <w:p w:rsidR="00E63844" w:rsidRPr="001D5A64" w:rsidRDefault="00E63844" w:rsidP="00E63844">
      <w:pPr>
        <w:spacing w:after="0" w:line="240" w:lineRule="auto"/>
        <w:ind w:left="720" w:hanging="720"/>
        <w:rPr>
          <w:rFonts w:cs="Times New Roman"/>
          <w:sz w:val="24"/>
          <w:szCs w:val="24"/>
        </w:rPr>
      </w:pPr>
      <w:r w:rsidRPr="001D5A64">
        <w:rPr>
          <w:rFonts w:cs="Times New Roman"/>
          <w:sz w:val="24"/>
          <w:szCs w:val="24"/>
        </w:rPr>
        <w:t xml:space="preserve">Bateson, G. (2002). </w:t>
      </w:r>
      <w:r w:rsidRPr="001D5A64">
        <w:rPr>
          <w:rFonts w:cs="Times New Roman"/>
          <w:i/>
          <w:sz w:val="24"/>
          <w:szCs w:val="24"/>
        </w:rPr>
        <w:t>Mind and nature: A necessary unity</w:t>
      </w:r>
      <w:r w:rsidRPr="001D5A64">
        <w:rPr>
          <w:rFonts w:cs="Times New Roman"/>
          <w:sz w:val="24"/>
          <w:szCs w:val="24"/>
        </w:rPr>
        <w:t>. Cresskill, NJ: Hampton Press.</w:t>
      </w:r>
    </w:p>
    <w:p w:rsidR="00E63844" w:rsidRPr="001D5A64" w:rsidRDefault="00E63844" w:rsidP="00E63844">
      <w:pPr>
        <w:widowControl w:val="0"/>
        <w:autoSpaceDE w:val="0"/>
        <w:autoSpaceDN w:val="0"/>
        <w:adjustRightInd w:val="0"/>
        <w:spacing w:after="0" w:line="240" w:lineRule="auto"/>
        <w:ind w:left="720" w:hanging="720"/>
        <w:rPr>
          <w:rFonts w:cs="Times New Roman"/>
          <w:sz w:val="24"/>
          <w:szCs w:val="24"/>
        </w:rPr>
      </w:pPr>
      <w:r w:rsidRPr="001D5A64">
        <w:rPr>
          <w:rFonts w:cs="Times New Roman"/>
          <w:sz w:val="24"/>
          <w:szCs w:val="24"/>
        </w:rPr>
        <w:tab/>
        <w:t xml:space="preserve">Boaler, J. (2002). </w:t>
      </w:r>
      <w:r w:rsidRPr="001D5A64">
        <w:rPr>
          <w:rFonts w:cs="Times New Roman"/>
          <w:i/>
          <w:iCs/>
          <w:sz w:val="24"/>
          <w:szCs w:val="24"/>
        </w:rPr>
        <w:t>Experiencing school mathematics</w:t>
      </w:r>
      <w:r w:rsidRPr="001D5A64">
        <w:rPr>
          <w:rFonts w:cs="Times New Roman"/>
          <w:sz w:val="24"/>
          <w:szCs w:val="24"/>
        </w:rPr>
        <w:t xml:space="preserve">. Mahwah, NJ: Lawrence </w:t>
      </w:r>
      <w:r w:rsidRPr="001D5A64">
        <w:rPr>
          <w:rFonts w:cs="Times New Roman"/>
          <w:sz w:val="24"/>
          <w:szCs w:val="24"/>
        </w:rPr>
        <w:tab/>
        <w:t xml:space="preserve">Erlbaum. </w:t>
      </w:r>
    </w:p>
    <w:p w:rsidR="00E63844" w:rsidRPr="001D5A64" w:rsidRDefault="00E63844" w:rsidP="00E63844">
      <w:pPr>
        <w:spacing w:after="0" w:line="240" w:lineRule="auto"/>
        <w:ind w:left="720" w:hanging="720"/>
        <w:rPr>
          <w:rFonts w:eastAsia="Times New Roman" w:cs="Times New Roman"/>
          <w:sz w:val="24"/>
          <w:szCs w:val="24"/>
        </w:rPr>
      </w:pPr>
      <w:r w:rsidRPr="001D5A64">
        <w:rPr>
          <w:rFonts w:eastAsia="Times New Roman" w:cs="Times New Roman"/>
          <w:sz w:val="24"/>
          <w:szCs w:val="24"/>
          <w:shd w:val="clear" w:color="auto" w:fill="FFFFFF"/>
        </w:rPr>
        <w:t xml:space="preserve">Belenky, M.F., Clinchy, B.M., Goldberger, N.R., &amp; Tarule, J.M. (1986). </w:t>
      </w:r>
      <w:r w:rsidRPr="001D5A64">
        <w:rPr>
          <w:rFonts w:eastAsia="Times New Roman" w:cs="Times New Roman"/>
          <w:i/>
          <w:sz w:val="24"/>
          <w:szCs w:val="24"/>
          <w:shd w:val="clear" w:color="auto" w:fill="FFFFFF"/>
        </w:rPr>
        <w:t>Women's ways of knowing: the development of self, voice, and mind.</w:t>
      </w:r>
      <w:r w:rsidRPr="001D5A64">
        <w:rPr>
          <w:rFonts w:eastAsia="Times New Roman" w:cs="Times New Roman"/>
          <w:sz w:val="24"/>
          <w:szCs w:val="24"/>
          <w:shd w:val="clear" w:color="auto" w:fill="FFFFFF"/>
        </w:rPr>
        <w:t xml:space="preserve"> New York: Basic Books.</w:t>
      </w:r>
    </w:p>
    <w:p w:rsidR="00E63844" w:rsidRPr="001D5A64" w:rsidRDefault="00E63844" w:rsidP="00E63844">
      <w:pPr>
        <w:widowControl w:val="0"/>
        <w:autoSpaceDE w:val="0"/>
        <w:autoSpaceDN w:val="0"/>
        <w:adjustRightInd w:val="0"/>
        <w:spacing w:after="0" w:line="240" w:lineRule="auto"/>
        <w:ind w:left="720" w:hanging="720"/>
        <w:rPr>
          <w:rFonts w:cs="Times New Roman"/>
          <w:sz w:val="24"/>
          <w:szCs w:val="24"/>
        </w:rPr>
      </w:pPr>
      <w:r w:rsidRPr="001D5A64">
        <w:rPr>
          <w:rFonts w:cs="Times New Roman"/>
          <w:sz w:val="24"/>
          <w:szCs w:val="24"/>
        </w:rPr>
        <w:t xml:space="preserve">Bishop, A. (1988). </w:t>
      </w:r>
      <w:r w:rsidRPr="001D5A64">
        <w:rPr>
          <w:rFonts w:cs="Times New Roman"/>
          <w:i/>
          <w:iCs/>
          <w:sz w:val="24"/>
          <w:szCs w:val="24"/>
        </w:rPr>
        <w:t>Mathematical enculturation: A cultural perspective on mathematics education</w:t>
      </w:r>
      <w:r w:rsidRPr="001D5A64">
        <w:rPr>
          <w:rFonts w:cs="Times New Roman"/>
          <w:sz w:val="24"/>
          <w:szCs w:val="24"/>
        </w:rPr>
        <w:t>. Dordrecht: Kluwer.</w:t>
      </w:r>
    </w:p>
    <w:p w:rsidR="00E63844" w:rsidRPr="001D5A64" w:rsidRDefault="00E63844" w:rsidP="00E63844">
      <w:pPr>
        <w:widowControl w:val="0"/>
        <w:autoSpaceDE w:val="0"/>
        <w:autoSpaceDN w:val="0"/>
        <w:adjustRightInd w:val="0"/>
        <w:spacing w:after="0" w:line="240" w:lineRule="auto"/>
        <w:ind w:left="720" w:hanging="720"/>
        <w:rPr>
          <w:rFonts w:cs="Times New Roman"/>
          <w:sz w:val="24"/>
          <w:szCs w:val="24"/>
        </w:rPr>
      </w:pPr>
      <w:r w:rsidRPr="001D5A64">
        <w:rPr>
          <w:rFonts w:cs="Times New Roman"/>
          <w:sz w:val="24"/>
          <w:szCs w:val="24"/>
        </w:rPr>
        <w:t xml:space="preserve">Bourdieu, P. (1977). </w:t>
      </w:r>
      <w:r w:rsidRPr="001D5A64">
        <w:rPr>
          <w:rFonts w:cs="Times New Roman"/>
          <w:i/>
          <w:iCs/>
          <w:sz w:val="24"/>
          <w:szCs w:val="24"/>
        </w:rPr>
        <w:t>Outline of a theory of practice</w:t>
      </w:r>
      <w:r w:rsidRPr="001D5A64">
        <w:rPr>
          <w:rFonts w:cs="Times New Roman"/>
          <w:sz w:val="24"/>
          <w:szCs w:val="24"/>
        </w:rPr>
        <w:t>. Translated by Richard Nice. New York: Cambridge University Press.</w:t>
      </w:r>
    </w:p>
    <w:p w:rsidR="00E63844" w:rsidRPr="001D5A64" w:rsidRDefault="00E63844" w:rsidP="00E63844">
      <w:pPr>
        <w:widowControl w:val="0"/>
        <w:autoSpaceDE w:val="0"/>
        <w:autoSpaceDN w:val="0"/>
        <w:adjustRightInd w:val="0"/>
        <w:spacing w:after="0" w:line="240" w:lineRule="auto"/>
        <w:ind w:left="720" w:hanging="720"/>
        <w:rPr>
          <w:rFonts w:cs="Times New Roman"/>
          <w:sz w:val="24"/>
          <w:szCs w:val="24"/>
        </w:rPr>
      </w:pPr>
      <w:r w:rsidRPr="001D5A64">
        <w:rPr>
          <w:rFonts w:cs="Times New Roman"/>
          <w:sz w:val="24"/>
          <w:szCs w:val="24"/>
        </w:rPr>
        <w:t xml:space="preserve">D’Ambrosio, U. (2006). </w:t>
      </w:r>
      <w:r w:rsidRPr="001D5A64">
        <w:rPr>
          <w:rFonts w:cs="Times New Roman"/>
          <w:i/>
          <w:iCs/>
          <w:sz w:val="24"/>
          <w:szCs w:val="24"/>
        </w:rPr>
        <w:t>Ethnomathematics</w:t>
      </w:r>
      <w:r w:rsidRPr="001D5A64">
        <w:rPr>
          <w:rFonts w:cs="Times New Roman"/>
          <w:sz w:val="24"/>
          <w:szCs w:val="24"/>
        </w:rPr>
        <w:t>. Rotterdam: Sense Publications.</w:t>
      </w:r>
    </w:p>
    <w:p w:rsidR="00E63844" w:rsidRPr="001D5A64" w:rsidRDefault="00E63844" w:rsidP="00E63844">
      <w:pPr>
        <w:widowControl w:val="0"/>
        <w:autoSpaceDE w:val="0"/>
        <w:autoSpaceDN w:val="0"/>
        <w:adjustRightInd w:val="0"/>
        <w:spacing w:after="0" w:line="240" w:lineRule="auto"/>
        <w:ind w:left="720" w:hanging="720"/>
        <w:rPr>
          <w:rFonts w:cs="Times New Roman"/>
          <w:sz w:val="24"/>
          <w:szCs w:val="24"/>
          <w:lang w:val="fr-CA"/>
        </w:rPr>
      </w:pPr>
      <w:r w:rsidRPr="001D5A64">
        <w:rPr>
          <w:rFonts w:cs="Times New Roman"/>
          <w:sz w:val="24"/>
          <w:szCs w:val="24"/>
        </w:rPr>
        <w:t>Daniel, M.-F., Lafortune, L., Pallascio, R., Sykes, P. (1999). 2</w:t>
      </w:r>
      <w:r w:rsidRPr="001D5A64">
        <w:rPr>
          <w:rFonts w:cs="Times New Roman"/>
          <w:sz w:val="24"/>
          <w:szCs w:val="24"/>
          <w:vertAlign w:val="superscript"/>
        </w:rPr>
        <w:t>nd</w:t>
      </w:r>
      <w:r w:rsidRPr="001D5A64">
        <w:rPr>
          <w:rFonts w:cs="Times New Roman"/>
          <w:sz w:val="24"/>
          <w:szCs w:val="24"/>
        </w:rPr>
        <w:t xml:space="preserve"> edition. </w:t>
      </w:r>
      <w:r w:rsidRPr="001D5A64">
        <w:rPr>
          <w:rFonts w:cs="Times New Roman"/>
          <w:i/>
          <w:sz w:val="24"/>
          <w:szCs w:val="24"/>
          <w:lang w:val="fr-CA"/>
        </w:rPr>
        <w:t>Les aventures mathématiques de Mathilde et David</w:t>
      </w:r>
      <w:r w:rsidRPr="001D5A64">
        <w:rPr>
          <w:rFonts w:cs="Times New Roman"/>
          <w:i/>
          <w:sz w:val="24"/>
          <w:szCs w:val="24"/>
        </w:rPr>
        <w:t xml:space="preserve">. </w:t>
      </w:r>
      <w:r w:rsidRPr="001D5A64">
        <w:rPr>
          <w:rFonts w:cs="Times New Roman"/>
          <w:sz w:val="24"/>
          <w:szCs w:val="24"/>
        </w:rPr>
        <w:t xml:space="preserve">Quebec City: </w:t>
      </w:r>
      <w:r w:rsidRPr="001D5A64">
        <w:rPr>
          <w:rFonts w:cs="Times New Roman"/>
          <w:sz w:val="24"/>
          <w:szCs w:val="24"/>
          <w:lang w:val="fr-CA"/>
        </w:rPr>
        <w:t xml:space="preserve">Éditions Michel Cornac. </w:t>
      </w:r>
    </w:p>
    <w:p w:rsidR="00E63844" w:rsidRPr="001D5A64" w:rsidRDefault="00E63844" w:rsidP="00E63844">
      <w:pPr>
        <w:widowControl w:val="0"/>
        <w:autoSpaceDE w:val="0"/>
        <w:autoSpaceDN w:val="0"/>
        <w:adjustRightInd w:val="0"/>
        <w:spacing w:after="0" w:line="240" w:lineRule="auto"/>
        <w:ind w:left="720" w:hanging="720"/>
        <w:rPr>
          <w:rFonts w:cs="Times New Roman"/>
          <w:sz w:val="24"/>
          <w:szCs w:val="24"/>
        </w:rPr>
      </w:pPr>
      <w:r w:rsidRPr="001D5A64">
        <w:rPr>
          <w:rFonts w:cs="Times New Roman"/>
          <w:sz w:val="24"/>
          <w:szCs w:val="24"/>
        </w:rPr>
        <w:t xml:space="preserve">Dewey, J. (1933). </w:t>
      </w:r>
      <w:r w:rsidRPr="001D5A64">
        <w:rPr>
          <w:rFonts w:cs="Times New Roman"/>
          <w:i/>
          <w:iCs/>
          <w:sz w:val="24"/>
          <w:szCs w:val="24"/>
        </w:rPr>
        <w:t>How we think</w:t>
      </w:r>
      <w:r w:rsidRPr="001D5A64">
        <w:rPr>
          <w:rFonts w:cs="Times New Roman"/>
          <w:sz w:val="24"/>
          <w:szCs w:val="24"/>
        </w:rPr>
        <w:t>. Lexington, MA: D.C. Hearth. </w:t>
      </w:r>
    </w:p>
    <w:p w:rsidR="00E63844" w:rsidRPr="001D5A64" w:rsidRDefault="00E63844" w:rsidP="00E63844">
      <w:pPr>
        <w:spacing w:after="0" w:line="240" w:lineRule="auto"/>
        <w:ind w:left="720" w:hanging="720"/>
        <w:rPr>
          <w:rFonts w:cs="Times New Roman"/>
          <w:sz w:val="24"/>
          <w:szCs w:val="24"/>
        </w:rPr>
      </w:pPr>
      <w:r w:rsidRPr="001D5A64">
        <w:rPr>
          <w:rFonts w:cs="Times New Roman"/>
          <w:sz w:val="24"/>
          <w:szCs w:val="24"/>
        </w:rPr>
        <w:t xml:space="preserve">Fischer, R. (2007). Technology, mathematics and consciousness of society. In U. Gellert, E. Jablonka (Eds.). </w:t>
      </w:r>
      <w:r w:rsidRPr="001D5A64">
        <w:rPr>
          <w:rFonts w:cs="Times New Roman"/>
          <w:i/>
          <w:sz w:val="24"/>
          <w:szCs w:val="24"/>
        </w:rPr>
        <w:t>Mathematisation and demathematisation: Social, philosophical and educational ramifications</w:t>
      </w:r>
      <w:r w:rsidRPr="001D5A64">
        <w:rPr>
          <w:rFonts w:cs="Times New Roman"/>
          <w:sz w:val="24"/>
          <w:szCs w:val="24"/>
        </w:rPr>
        <w:t>. Rotterdam: Sense Publishers.</w:t>
      </w:r>
    </w:p>
    <w:p w:rsidR="00E63844" w:rsidRPr="001D5A64" w:rsidRDefault="00E63844" w:rsidP="00E63844">
      <w:pPr>
        <w:spacing w:after="0" w:line="240" w:lineRule="auto"/>
        <w:ind w:left="720" w:hanging="720"/>
        <w:rPr>
          <w:rFonts w:cs="Times New Roman"/>
          <w:sz w:val="24"/>
          <w:szCs w:val="24"/>
        </w:rPr>
      </w:pPr>
      <w:r w:rsidRPr="001D5A64">
        <w:rPr>
          <w:rFonts w:cs="Times New Roman"/>
          <w:sz w:val="24"/>
          <w:szCs w:val="24"/>
        </w:rPr>
        <w:t xml:space="preserve">Freire, P. (1997). </w:t>
      </w:r>
      <w:r w:rsidRPr="001D5A64">
        <w:rPr>
          <w:rFonts w:cs="Times New Roman"/>
          <w:i/>
          <w:sz w:val="24"/>
          <w:szCs w:val="24"/>
        </w:rPr>
        <w:t>Pedagogy of the heart</w:t>
      </w:r>
      <w:r w:rsidRPr="001D5A64">
        <w:rPr>
          <w:rFonts w:cs="Times New Roman"/>
          <w:sz w:val="24"/>
          <w:szCs w:val="24"/>
        </w:rPr>
        <w:t xml:space="preserve">. NY: Continuum. </w:t>
      </w:r>
    </w:p>
    <w:p w:rsidR="00E63844" w:rsidRPr="001D5A64" w:rsidRDefault="00E63844" w:rsidP="00E63844">
      <w:pPr>
        <w:widowControl w:val="0"/>
        <w:autoSpaceDE w:val="0"/>
        <w:autoSpaceDN w:val="0"/>
        <w:adjustRightInd w:val="0"/>
        <w:spacing w:after="0" w:line="240" w:lineRule="auto"/>
        <w:ind w:left="720" w:hanging="720"/>
        <w:rPr>
          <w:rFonts w:cs="Times New Roman"/>
          <w:sz w:val="24"/>
          <w:szCs w:val="24"/>
        </w:rPr>
      </w:pPr>
      <w:r w:rsidRPr="001D5A64">
        <w:rPr>
          <w:rFonts w:cs="Times New Roman"/>
          <w:sz w:val="24"/>
          <w:szCs w:val="24"/>
        </w:rPr>
        <w:t xml:space="preserve">Foucault, M.  (2000). Truth and power. In P. Rabinow, (Ed.)  </w:t>
      </w:r>
      <w:r w:rsidRPr="001D5A64">
        <w:rPr>
          <w:rFonts w:cs="Times New Roman"/>
          <w:i/>
          <w:iCs/>
          <w:sz w:val="24"/>
          <w:szCs w:val="24"/>
        </w:rPr>
        <w:t>Essential Works of Foucault 1954–1984</w:t>
      </w:r>
      <w:r w:rsidRPr="001D5A64">
        <w:rPr>
          <w:rFonts w:cs="Times New Roman"/>
          <w:sz w:val="24"/>
          <w:szCs w:val="24"/>
        </w:rPr>
        <w:t xml:space="preserve">. New York: The New Press. </w:t>
      </w:r>
    </w:p>
    <w:p w:rsidR="00E63844" w:rsidRPr="001D5A64" w:rsidRDefault="00E63844" w:rsidP="00E63844">
      <w:pPr>
        <w:widowControl w:val="0"/>
        <w:autoSpaceDE w:val="0"/>
        <w:autoSpaceDN w:val="0"/>
        <w:adjustRightInd w:val="0"/>
        <w:spacing w:after="0" w:line="240" w:lineRule="auto"/>
        <w:ind w:left="720" w:hanging="720"/>
        <w:rPr>
          <w:rFonts w:cs="Times New Roman"/>
          <w:sz w:val="24"/>
          <w:szCs w:val="24"/>
        </w:rPr>
      </w:pPr>
      <w:r w:rsidRPr="001D5A64">
        <w:rPr>
          <w:rFonts w:cs="Times New Roman"/>
          <w:sz w:val="24"/>
          <w:szCs w:val="24"/>
        </w:rPr>
        <w:t xml:space="preserve">Gregory, M. (2006). </w:t>
      </w:r>
      <w:r w:rsidRPr="001D5A64">
        <w:rPr>
          <w:rFonts w:cs="Times New Roman"/>
          <w:bCs/>
          <w:sz w:val="24"/>
          <w:szCs w:val="24"/>
        </w:rPr>
        <w:t>Normative dialogue types in philosophy for children</w:t>
      </w:r>
      <w:r w:rsidRPr="001D5A64">
        <w:rPr>
          <w:rFonts w:cs="Times New Roman"/>
          <w:b/>
          <w:bCs/>
          <w:sz w:val="24"/>
          <w:szCs w:val="24"/>
        </w:rPr>
        <w:t xml:space="preserve">. </w:t>
      </w:r>
      <w:r w:rsidRPr="001D5A64">
        <w:rPr>
          <w:rFonts w:cs="Times New Roman"/>
          <w:i/>
          <w:sz w:val="24"/>
          <w:szCs w:val="24"/>
        </w:rPr>
        <w:t>Gifted Education International</w:t>
      </w:r>
      <w:r w:rsidRPr="001D5A64">
        <w:rPr>
          <w:rFonts w:cs="Times New Roman"/>
          <w:sz w:val="24"/>
          <w:szCs w:val="24"/>
        </w:rPr>
        <w:t xml:space="preserve">, 22, pp. 160-171. </w:t>
      </w:r>
    </w:p>
    <w:p w:rsidR="00E63844" w:rsidRPr="001D5A64" w:rsidRDefault="00E63844" w:rsidP="00E63844">
      <w:pPr>
        <w:widowControl w:val="0"/>
        <w:autoSpaceDE w:val="0"/>
        <w:autoSpaceDN w:val="0"/>
        <w:adjustRightInd w:val="0"/>
        <w:spacing w:after="0" w:line="240" w:lineRule="auto"/>
        <w:ind w:left="720" w:hanging="720"/>
        <w:rPr>
          <w:rFonts w:cs="Times New Roman"/>
          <w:sz w:val="24"/>
          <w:szCs w:val="24"/>
        </w:rPr>
      </w:pPr>
      <w:r w:rsidRPr="001D5A64">
        <w:rPr>
          <w:rFonts w:cs="Times New Roman"/>
          <w:sz w:val="24"/>
          <w:szCs w:val="24"/>
        </w:rPr>
        <w:t xml:space="preserve">Keithel, C., Kotzmann, E., Skovsmose, O. (1993). Beyond the tunnel vision: Analysing the relationship between mathematics, society, and technology. In C. Keithel &amp; K. Ruthven (Eds.) </w:t>
      </w:r>
      <w:r w:rsidRPr="001D5A64">
        <w:rPr>
          <w:rFonts w:cs="Times New Roman"/>
          <w:i/>
          <w:iCs/>
          <w:sz w:val="24"/>
          <w:szCs w:val="24"/>
        </w:rPr>
        <w:t>Learning from computers: Mathematics education and technology, (pp.</w:t>
      </w:r>
      <w:r w:rsidRPr="001D5A64">
        <w:rPr>
          <w:rFonts w:cs="Times New Roman"/>
          <w:sz w:val="24"/>
          <w:szCs w:val="24"/>
        </w:rPr>
        <w:t>243-279). Berlin: Springer.</w:t>
      </w:r>
    </w:p>
    <w:p w:rsidR="00E63844" w:rsidRPr="001D5A64" w:rsidRDefault="00E63844" w:rsidP="00E63844">
      <w:pPr>
        <w:widowControl w:val="0"/>
        <w:autoSpaceDE w:val="0"/>
        <w:autoSpaceDN w:val="0"/>
        <w:adjustRightInd w:val="0"/>
        <w:spacing w:after="0" w:line="240" w:lineRule="auto"/>
        <w:ind w:left="720" w:hanging="720"/>
        <w:rPr>
          <w:rFonts w:cs="Times New Roman"/>
          <w:sz w:val="24"/>
          <w:szCs w:val="24"/>
        </w:rPr>
      </w:pPr>
      <w:r w:rsidRPr="001D5A64">
        <w:rPr>
          <w:rFonts w:cs="Times New Roman"/>
          <w:bCs/>
          <w:sz w:val="24"/>
          <w:szCs w:val="24"/>
          <w:shd w:val="clear" w:color="auto" w:fill="FFFFFF"/>
        </w:rPr>
        <w:t xml:space="preserve">Kennedy, N. S., &amp; Kennedy, D. (2011). </w:t>
      </w:r>
      <w:r w:rsidRPr="001D5A64">
        <w:rPr>
          <w:rFonts w:cs="Times New Roman"/>
          <w:sz w:val="24"/>
          <w:szCs w:val="24"/>
        </w:rPr>
        <w:t xml:space="preserve">Community of Philosophical Inquiry as a Discursive Structure, and its Role in School Curriculum Design. </w:t>
      </w:r>
      <w:r w:rsidRPr="001D5A64">
        <w:rPr>
          <w:rFonts w:cs="Times New Roman"/>
          <w:i/>
          <w:sz w:val="24"/>
          <w:szCs w:val="24"/>
        </w:rPr>
        <w:t>Journal of Philosophy of Education</w:t>
      </w:r>
      <w:r w:rsidRPr="001D5A64">
        <w:rPr>
          <w:rFonts w:cs="Times New Roman"/>
          <w:sz w:val="24"/>
          <w:szCs w:val="24"/>
        </w:rPr>
        <w:t>, 45( 2), 265-283.</w:t>
      </w:r>
    </w:p>
    <w:p w:rsidR="00E63844" w:rsidRPr="001D5A64" w:rsidRDefault="00E63844" w:rsidP="00E63844">
      <w:pPr>
        <w:widowControl w:val="0"/>
        <w:autoSpaceDE w:val="0"/>
        <w:autoSpaceDN w:val="0"/>
        <w:adjustRightInd w:val="0"/>
        <w:spacing w:after="0" w:line="240" w:lineRule="auto"/>
        <w:ind w:left="720" w:hanging="720"/>
        <w:rPr>
          <w:rFonts w:cs="Times New Roman"/>
          <w:sz w:val="24"/>
          <w:szCs w:val="24"/>
        </w:rPr>
      </w:pPr>
      <w:r w:rsidRPr="001D5A64">
        <w:rPr>
          <w:rFonts w:eastAsia="Times New Roman" w:cs="Times New Roman"/>
          <w:sz w:val="24"/>
          <w:szCs w:val="24"/>
          <w:shd w:val="clear" w:color="auto" w:fill="FFFFFF"/>
        </w:rPr>
        <w:t xml:space="preserve">Kennedy, D. (1999). Thinking for oneself and with others. </w:t>
      </w:r>
      <w:r w:rsidRPr="001D5A64">
        <w:rPr>
          <w:rFonts w:eastAsia="Times New Roman" w:cs="Times New Roman"/>
          <w:i/>
          <w:sz w:val="24"/>
          <w:szCs w:val="24"/>
          <w:shd w:val="clear" w:color="auto" w:fill="FFFFFF"/>
        </w:rPr>
        <w:t>Analytic Teaching,</w:t>
      </w:r>
      <w:r w:rsidRPr="001D5A64">
        <w:rPr>
          <w:rFonts w:eastAsia="Times New Roman" w:cs="Times New Roman"/>
          <w:sz w:val="24"/>
          <w:szCs w:val="24"/>
          <w:shd w:val="clear" w:color="auto" w:fill="FFFFFF"/>
        </w:rPr>
        <w:t xml:space="preserve"> 20:1 (November).</w:t>
      </w:r>
    </w:p>
    <w:p w:rsidR="00E63844" w:rsidRPr="001D5A64" w:rsidRDefault="00E63844" w:rsidP="00E63844">
      <w:pPr>
        <w:spacing w:after="0" w:line="240" w:lineRule="auto"/>
        <w:ind w:left="720" w:hanging="720"/>
        <w:rPr>
          <w:rFonts w:cs="Times New Roman"/>
          <w:sz w:val="24"/>
          <w:szCs w:val="24"/>
        </w:rPr>
      </w:pPr>
      <w:r w:rsidRPr="001D5A64">
        <w:rPr>
          <w:rFonts w:cs="Times New Roman"/>
          <w:sz w:val="24"/>
          <w:szCs w:val="24"/>
        </w:rPr>
        <w:t xml:space="preserve">Lipman, M.  (2003). </w:t>
      </w:r>
      <w:r w:rsidRPr="001D5A64">
        <w:rPr>
          <w:rFonts w:cs="Times New Roman"/>
          <w:i/>
          <w:sz w:val="24"/>
          <w:szCs w:val="24"/>
        </w:rPr>
        <w:t>Thinking in education</w:t>
      </w:r>
      <w:r w:rsidRPr="001D5A64">
        <w:rPr>
          <w:rFonts w:cs="Times New Roman"/>
          <w:sz w:val="24"/>
          <w:szCs w:val="24"/>
        </w:rPr>
        <w:t>. (2</w:t>
      </w:r>
      <w:r w:rsidRPr="001D5A64">
        <w:rPr>
          <w:rFonts w:cs="Times New Roman"/>
          <w:sz w:val="24"/>
          <w:szCs w:val="24"/>
          <w:vertAlign w:val="superscript"/>
        </w:rPr>
        <w:t>nd</w:t>
      </w:r>
      <w:r w:rsidRPr="001D5A64">
        <w:rPr>
          <w:rFonts w:cs="Times New Roman"/>
          <w:sz w:val="24"/>
          <w:szCs w:val="24"/>
        </w:rPr>
        <w:t xml:space="preserve"> ed.). Cambridge: Cambridge University Press.</w:t>
      </w:r>
    </w:p>
    <w:p w:rsidR="00E63844" w:rsidRPr="001D5A64" w:rsidRDefault="00E63844" w:rsidP="00E63844">
      <w:pPr>
        <w:spacing w:after="0" w:line="240" w:lineRule="auto"/>
        <w:ind w:left="720" w:hanging="720"/>
        <w:rPr>
          <w:rFonts w:cs="Times New Roman"/>
          <w:sz w:val="24"/>
          <w:szCs w:val="24"/>
        </w:rPr>
      </w:pPr>
      <w:r w:rsidRPr="001D5A64">
        <w:rPr>
          <w:rFonts w:cs="Times New Roman"/>
          <w:sz w:val="24"/>
          <w:szCs w:val="24"/>
        </w:rPr>
        <w:t xml:space="preserve">Lipman, M., Sharp, A.M., &amp; Oscanyan, F. (1984). (Eds.) </w:t>
      </w:r>
      <w:r w:rsidRPr="001D5A64">
        <w:rPr>
          <w:rFonts w:cs="Times New Roman"/>
          <w:i/>
          <w:sz w:val="24"/>
          <w:szCs w:val="24"/>
        </w:rPr>
        <w:t>Philosophical Inquiry: An Instructional Manual to Accompany Harry Stottlemeier’s Discovery</w:t>
      </w:r>
      <w:r w:rsidRPr="001D5A64">
        <w:rPr>
          <w:rFonts w:cs="Times New Roman"/>
          <w:sz w:val="24"/>
          <w:szCs w:val="24"/>
        </w:rPr>
        <w:t>. Second Edition. Lanham MD: University Press of America.</w:t>
      </w:r>
    </w:p>
    <w:p w:rsidR="00E63844" w:rsidRPr="001D5A64" w:rsidRDefault="00E63844" w:rsidP="00E63844">
      <w:pPr>
        <w:spacing w:after="0" w:line="240" w:lineRule="auto"/>
        <w:ind w:left="720" w:hanging="720"/>
        <w:rPr>
          <w:rFonts w:cs="Times New Roman"/>
          <w:sz w:val="24"/>
          <w:szCs w:val="24"/>
        </w:rPr>
      </w:pPr>
      <w:r w:rsidRPr="001D5A64">
        <w:rPr>
          <w:rFonts w:cs="Times New Roman"/>
          <w:sz w:val="24"/>
          <w:szCs w:val="24"/>
        </w:rPr>
        <w:t xml:space="preserve">Lipman, M. (2006). </w:t>
      </w:r>
      <w:r w:rsidRPr="001D5A64">
        <w:rPr>
          <w:rFonts w:cs="Times New Roman"/>
          <w:i/>
          <w:sz w:val="24"/>
          <w:szCs w:val="24"/>
        </w:rPr>
        <w:t>Getting Our Thoughts Together: Instructional Manual to Accompany Elfie</w:t>
      </w:r>
      <w:r w:rsidRPr="001D5A64">
        <w:rPr>
          <w:rFonts w:cs="Times New Roman"/>
          <w:sz w:val="24"/>
          <w:szCs w:val="24"/>
        </w:rPr>
        <w:t>.  Second Edition.  Montclair NJ:  Institute for the Advancement of Philosophy for Children.</w:t>
      </w:r>
    </w:p>
    <w:p w:rsidR="00E63844" w:rsidRPr="001D5A64" w:rsidRDefault="00E63844" w:rsidP="00E63844">
      <w:pPr>
        <w:spacing w:after="0" w:line="240" w:lineRule="auto"/>
        <w:ind w:left="720" w:hanging="720"/>
        <w:rPr>
          <w:rFonts w:cs="Times New Roman"/>
          <w:sz w:val="24"/>
          <w:szCs w:val="24"/>
        </w:rPr>
      </w:pPr>
      <w:r w:rsidRPr="001D5A64">
        <w:rPr>
          <w:rFonts w:eastAsia="Times New Roman" w:cs="Times New Roman"/>
          <w:sz w:val="24"/>
          <w:szCs w:val="24"/>
          <w:shd w:val="clear" w:color="auto" w:fill="FFFFFF"/>
        </w:rPr>
        <w:t xml:space="preserve">Maier, S.; Seligman, M. (1976) Learned helplessness: Theory and evidence. </w:t>
      </w:r>
      <w:r w:rsidRPr="001D5A64">
        <w:rPr>
          <w:rFonts w:eastAsia="Times New Roman" w:cs="Times New Roman"/>
          <w:i/>
          <w:sz w:val="24"/>
          <w:szCs w:val="24"/>
          <w:shd w:val="clear" w:color="auto" w:fill="FFFFFF"/>
        </w:rPr>
        <w:t>Journal of Experimental Psychology</w:t>
      </w:r>
      <w:r w:rsidRPr="001D5A64">
        <w:rPr>
          <w:rFonts w:eastAsia="Times New Roman" w:cs="Times New Roman"/>
          <w:sz w:val="24"/>
          <w:szCs w:val="24"/>
          <w:shd w:val="clear" w:color="auto" w:fill="FFFFFF"/>
        </w:rPr>
        <w:t>, 105(1), 3-46.</w:t>
      </w:r>
    </w:p>
    <w:p w:rsidR="00E63844" w:rsidRPr="001D5A64" w:rsidRDefault="00E63844" w:rsidP="00E63844">
      <w:pPr>
        <w:spacing w:after="0" w:line="240" w:lineRule="auto"/>
        <w:ind w:left="720" w:hanging="720"/>
        <w:rPr>
          <w:rFonts w:cs="Times New Roman"/>
          <w:sz w:val="24"/>
          <w:szCs w:val="24"/>
        </w:rPr>
      </w:pPr>
      <w:r w:rsidRPr="001D5A64">
        <w:rPr>
          <w:rFonts w:cs="Times New Roman"/>
          <w:sz w:val="24"/>
          <w:szCs w:val="24"/>
        </w:rPr>
        <w:t xml:space="preserve">Skovsmose, O. (1994). </w:t>
      </w:r>
      <w:r w:rsidRPr="001D5A64">
        <w:rPr>
          <w:rFonts w:cs="Times New Roman"/>
          <w:i/>
          <w:sz w:val="24"/>
          <w:szCs w:val="24"/>
        </w:rPr>
        <w:t>Towards a philosophy of critical mathematics education</w:t>
      </w:r>
      <w:r w:rsidRPr="001D5A64">
        <w:rPr>
          <w:rFonts w:cs="Times New Roman"/>
          <w:sz w:val="24"/>
          <w:szCs w:val="24"/>
        </w:rPr>
        <w:t>. Dordrecht: Kluwer.</w:t>
      </w:r>
    </w:p>
    <w:p w:rsidR="00E63844" w:rsidRPr="001D5A64" w:rsidRDefault="00E63844" w:rsidP="00E63844">
      <w:pPr>
        <w:spacing w:after="0" w:line="240" w:lineRule="auto"/>
        <w:ind w:left="720" w:hanging="720"/>
        <w:rPr>
          <w:rFonts w:cs="Times New Roman"/>
          <w:sz w:val="24"/>
          <w:szCs w:val="24"/>
        </w:rPr>
      </w:pPr>
      <w:r w:rsidRPr="001D5A64">
        <w:rPr>
          <w:rFonts w:cs="Times New Roman"/>
          <w:sz w:val="24"/>
          <w:szCs w:val="24"/>
        </w:rPr>
        <w:t xml:space="preserve">Sprod, T. (2011). </w:t>
      </w:r>
      <w:r w:rsidRPr="001D5A64">
        <w:rPr>
          <w:rFonts w:cs="Times New Roman"/>
          <w:i/>
          <w:sz w:val="24"/>
          <w:szCs w:val="24"/>
        </w:rPr>
        <w:t>Discussions in science</w:t>
      </w:r>
      <w:r w:rsidRPr="001D5A64">
        <w:rPr>
          <w:rFonts w:cs="Times New Roman"/>
          <w:sz w:val="24"/>
          <w:szCs w:val="24"/>
        </w:rPr>
        <w:t>. Victoria: ACER</w:t>
      </w:r>
    </w:p>
    <w:p w:rsidR="00E63844" w:rsidRPr="001D5A64" w:rsidRDefault="00E63844" w:rsidP="00E63844">
      <w:pPr>
        <w:spacing w:after="0" w:line="240" w:lineRule="auto"/>
        <w:ind w:left="720" w:hanging="720"/>
        <w:rPr>
          <w:rFonts w:cs="Times New Roman"/>
          <w:sz w:val="24"/>
          <w:szCs w:val="24"/>
        </w:rPr>
      </w:pPr>
      <w:r w:rsidRPr="001D5A64">
        <w:rPr>
          <w:rFonts w:cs="Times New Roman"/>
          <w:sz w:val="24"/>
          <w:szCs w:val="24"/>
        </w:rPr>
        <w:t xml:space="preserve">Tobias, S. (1993). </w:t>
      </w:r>
      <w:r w:rsidRPr="001D5A64">
        <w:rPr>
          <w:rFonts w:cs="Times New Roman"/>
          <w:i/>
          <w:iCs/>
          <w:sz w:val="24"/>
          <w:szCs w:val="24"/>
        </w:rPr>
        <w:t>Overcoming math anxiety</w:t>
      </w:r>
      <w:r w:rsidRPr="001D5A64">
        <w:rPr>
          <w:rFonts w:cs="Times New Roman"/>
          <w:sz w:val="24"/>
          <w:szCs w:val="24"/>
        </w:rPr>
        <w:t>. New York: Norton. </w:t>
      </w:r>
    </w:p>
    <w:p w:rsidR="00E63844" w:rsidRPr="001D5A64" w:rsidRDefault="00E63844" w:rsidP="00E63844">
      <w:pPr>
        <w:spacing w:after="0" w:line="240" w:lineRule="auto"/>
        <w:ind w:left="720" w:hanging="720"/>
        <w:rPr>
          <w:rFonts w:cs="Times New Roman"/>
          <w:sz w:val="24"/>
          <w:szCs w:val="24"/>
        </w:rPr>
      </w:pPr>
      <w:r w:rsidRPr="001D5A64">
        <w:rPr>
          <w:rFonts w:cs="Times New Roman"/>
          <w:sz w:val="24"/>
          <w:szCs w:val="24"/>
        </w:rPr>
        <w:t xml:space="preserve">Vithal, R. (2003). </w:t>
      </w:r>
      <w:r w:rsidRPr="001D5A64">
        <w:rPr>
          <w:rFonts w:cs="Times New Roman"/>
          <w:i/>
          <w:sz w:val="24"/>
          <w:szCs w:val="24"/>
        </w:rPr>
        <w:t>In search of a pedagogy of conflict and dialogue for mathematics education.</w:t>
      </w:r>
      <w:r w:rsidRPr="001D5A64">
        <w:rPr>
          <w:rFonts w:cs="Times New Roman"/>
          <w:sz w:val="24"/>
          <w:szCs w:val="24"/>
        </w:rPr>
        <w:t xml:space="preserve"> Dordrecht, The Netherlands: Kluwer Academic Publishers.</w:t>
      </w:r>
    </w:p>
    <w:p w:rsidR="00E63844" w:rsidRPr="001D5A64" w:rsidRDefault="00E63844" w:rsidP="00E63844">
      <w:pPr>
        <w:spacing w:after="0" w:line="240" w:lineRule="auto"/>
        <w:ind w:left="720" w:hanging="720"/>
        <w:rPr>
          <w:rFonts w:cs="Times New Roman"/>
          <w:sz w:val="24"/>
          <w:szCs w:val="24"/>
        </w:rPr>
      </w:pPr>
      <w:r w:rsidRPr="001D5A64">
        <w:rPr>
          <w:rFonts w:cs="Times New Roman"/>
          <w:sz w:val="24"/>
          <w:szCs w:val="24"/>
        </w:rPr>
        <w:t xml:space="preserve">Vygotsky, L. (1978). </w:t>
      </w:r>
      <w:r w:rsidRPr="001D5A64">
        <w:rPr>
          <w:rFonts w:cs="Times New Roman"/>
          <w:i/>
          <w:iCs/>
          <w:sz w:val="24"/>
          <w:szCs w:val="24"/>
        </w:rPr>
        <w:t>Mind in society: The development of higher psychological processes</w:t>
      </w:r>
      <w:r w:rsidRPr="001D5A64">
        <w:rPr>
          <w:rFonts w:cs="Times New Roman"/>
          <w:sz w:val="24"/>
          <w:szCs w:val="24"/>
        </w:rPr>
        <w:t>. Ed. M. Cole, V. John-Steiner, S. Scribner, &amp; E. Souberman. Cambridge, MA: Harvard University Press. </w:t>
      </w:r>
    </w:p>
    <w:p w:rsidR="00E63844" w:rsidRPr="001D5A64" w:rsidRDefault="00E63844" w:rsidP="00E63844">
      <w:pPr>
        <w:spacing w:after="0" w:line="240" w:lineRule="auto"/>
        <w:ind w:left="720" w:hanging="720"/>
        <w:rPr>
          <w:rFonts w:cs="Times New Roman"/>
          <w:sz w:val="24"/>
          <w:szCs w:val="24"/>
        </w:rPr>
      </w:pPr>
      <w:r w:rsidRPr="001D5A64">
        <w:rPr>
          <w:rFonts w:cs="Times New Roman"/>
          <w:sz w:val="24"/>
          <w:szCs w:val="24"/>
        </w:rPr>
        <w:lastRenderedPageBreak/>
        <w:t xml:space="preserve">Wells, G. (1999). </w:t>
      </w:r>
      <w:r w:rsidRPr="001D5A64">
        <w:rPr>
          <w:rFonts w:cs="Times New Roman"/>
          <w:i/>
          <w:iCs/>
          <w:sz w:val="24"/>
          <w:szCs w:val="24"/>
        </w:rPr>
        <w:t>Dialogic inquiry: Towards a sociocultural practice and theory of education</w:t>
      </w:r>
      <w:r w:rsidRPr="001D5A64">
        <w:rPr>
          <w:rFonts w:cs="Times New Roman"/>
          <w:sz w:val="24"/>
          <w:szCs w:val="24"/>
        </w:rPr>
        <w:t xml:space="preserve">. Cambridge: Cambridge University Press. </w:t>
      </w:r>
    </w:p>
    <w:p w:rsidR="0047760D" w:rsidRDefault="0047760D"/>
    <w:sectPr w:rsidR="0047760D" w:rsidSect="001D5A64">
      <w:headerReference w:type="even" r:id="rId6"/>
      <w:footerReference w:type="even" r:id="rId7"/>
      <w:footerReference w:type="default" r:id="rId8"/>
      <w:headerReference w:type="first" r:id="rId9"/>
      <w:pgSz w:w="11900" w:h="16840"/>
      <w:pgMar w:top="1440" w:right="1440" w:bottom="1440" w:left="1440" w:header="709" w:footer="652" w:gutter="0"/>
      <w:pgNumType w:chapStyle="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457B" w:rsidRDefault="0020457B" w:rsidP="00E63844">
      <w:pPr>
        <w:spacing w:after="0" w:line="240" w:lineRule="auto"/>
      </w:pPr>
      <w:r>
        <w:separator/>
      </w:r>
    </w:p>
  </w:endnote>
  <w:endnote w:type="continuationSeparator" w:id="0">
    <w:p w:rsidR="0020457B" w:rsidRDefault="0020457B" w:rsidP="00E638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ＭＳ 明朝">
    <w:altName w:val="MS Mincho"/>
    <w:charset w:val="4E"/>
    <w:family w:val="auto"/>
    <w:pitch w:val="variable"/>
    <w:sig w:usb0="00000000" w:usb1="6AC7FDFB"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891" w:rsidRPr="009B5FBF" w:rsidRDefault="005F50D2" w:rsidP="00E63844">
    <w:pPr>
      <w:framePr w:wrap="around" w:vAnchor="text" w:hAnchor="margin" w:xAlign="right" w:y="1"/>
      <w:rPr>
        <w:rStyle w:val="PageNumber"/>
        <w:sz w:val="21"/>
        <w:szCs w:val="21"/>
      </w:rPr>
    </w:pPr>
    <w:r w:rsidRPr="009B5FBF">
      <w:rPr>
        <w:rStyle w:val="PageNumber"/>
        <w:sz w:val="21"/>
        <w:szCs w:val="21"/>
      </w:rPr>
      <w:fldChar w:fldCharType="begin"/>
    </w:r>
    <w:r w:rsidR="00165416" w:rsidRPr="009B5FBF">
      <w:rPr>
        <w:rStyle w:val="PageNumber"/>
        <w:sz w:val="21"/>
        <w:szCs w:val="21"/>
      </w:rPr>
      <w:instrText xml:space="preserve">PAGE  </w:instrText>
    </w:r>
    <w:r w:rsidRPr="009B5FBF">
      <w:rPr>
        <w:rStyle w:val="PageNumber"/>
        <w:sz w:val="21"/>
        <w:szCs w:val="21"/>
      </w:rPr>
      <w:fldChar w:fldCharType="separate"/>
    </w:r>
    <w:r w:rsidR="00165416">
      <w:rPr>
        <w:rStyle w:val="PageNumber"/>
        <w:noProof/>
        <w:sz w:val="21"/>
        <w:szCs w:val="21"/>
      </w:rPr>
      <w:t>2</w:t>
    </w:r>
    <w:r w:rsidRPr="009B5FBF">
      <w:rPr>
        <w:rStyle w:val="PageNumber"/>
        <w:sz w:val="21"/>
        <w:szCs w:val="21"/>
      </w:rPr>
      <w:fldChar w:fldCharType="end"/>
    </w:r>
  </w:p>
  <w:p w:rsidR="00CD0891" w:rsidRDefault="0020457B" w:rsidP="009B5FBF">
    <w:pPr>
      <w:pBdr>
        <w:top w:val="single" w:sz="4" w:space="1" w:color="auto"/>
      </w:pBdr>
      <w:ind w:right="360" w:firstLine="36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844" w:rsidRDefault="005F50D2" w:rsidP="00ED1D57">
    <w:pPr>
      <w:pStyle w:val="Footer"/>
      <w:framePr w:wrap="around" w:vAnchor="text" w:hAnchor="margin" w:xAlign="right" w:y="1"/>
      <w:rPr>
        <w:rStyle w:val="PageNumber"/>
      </w:rPr>
    </w:pPr>
    <w:r>
      <w:rPr>
        <w:rStyle w:val="PageNumber"/>
      </w:rPr>
      <w:fldChar w:fldCharType="begin"/>
    </w:r>
    <w:r w:rsidR="00E63844">
      <w:rPr>
        <w:rStyle w:val="PageNumber"/>
      </w:rPr>
      <w:instrText xml:space="preserve">PAGE  </w:instrText>
    </w:r>
    <w:r>
      <w:rPr>
        <w:rStyle w:val="PageNumber"/>
      </w:rPr>
      <w:fldChar w:fldCharType="separate"/>
    </w:r>
    <w:r w:rsidR="00BA26D5">
      <w:rPr>
        <w:rStyle w:val="PageNumber"/>
        <w:noProof/>
      </w:rPr>
      <w:t>4</w:t>
    </w:r>
    <w:r>
      <w:rPr>
        <w:rStyle w:val="PageNumber"/>
      </w:rPr>
      <w:fldChar w:fldCharType="end"/>
    </w:r>
  </w:p>
  <w:p w:rsidR="00E63844" w:rsidRDefault="00E63844" w:rsidP="00E6384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457B" w:rsidRDefault="0020457B" w:rsidP="00E63844">
      <w:pPr>
        <w:spacing w:after="0" w:line="240" w:lineRule="auto"/>
      </w:pPr>
      <w:r>
        <w:separator/>
      </w:r>
    </w:p>
  </w:footnote>
  <w:footnote w:type="continuationSeparator" w:id="0">
    <w:p w:rsidR="0020457B" w:rsidRDefault="0020457B" w:rsidP="00E63844">
      <w:pPr>
        <w:spacing w:after="0" w:line="240" w:lineRule="auto"/>
      </w:pPr>
      <w:r>
        <w:continuationSeparator/>
      </w:r>
    </w:p>
  </w:footnote>
  <w:footnote w:id="1">
    <w:p w:rsidR="00E63844" w:rsidRPr="000B19F3" w:rsidRDefault="00E63844" w:rsidP="00E63844">
      <w:pPr>
        <w:pStyle w:val="FootnoteText"/>
        <w:jc w:val="both"/>
        <w:rPr>
          <w:rFonts w:ascii="Times New Roman" w:hAnsi="Times New Roman" w:cs="Times New Roman"/>
          <w:sz w:val="22"/>
          <w:szCs w:val="22"/>
        </w:rPr>
      </w:pPr>
      <w:r>
        <w:rPr>
          <w:rStyle w:val="FootnoteReference"/>
        </w:rPr>
        <w:footnoteRef/>
      </w:r>
      <w:r>
        <w:t xml:space="preserve"> </w:t>
      </w:r>
      <w:r w:rsidRPr="000B19F3">
        <w:rPr>
          <w:rFonts w:ascii="Times New Roman" w:hAnsi="Times New Roman" w:cs="Times New Roman"/>
          <w:sz w:val="22"/>
          <w:szCs w:val="22"/>
        </w:rPr>
        <w:t>The original P4C curriculum was developed by Mathew Lipman and Ann Sharp (see e.g. Lipman, Sharp &amp; Oscanyan, 1984). Other curriculum materials have been developed by theoreticians and practitioners in the field (see e.g. Sprod, 2011; Daniel, M.-F., Lafortune, L., Pallascio, R., Sykes, P., 1999)</w:t>
      </w:r>
    </w:p>
  </w:footnote>
  <w:footnote w:id="2">
    <w:p w:rsidR="00E63844" w:rsidRDefault="00E63844" w:rsidP="00E63844">
      <w:pPr>
        <w:pStyle w:val="FootnoteText"/>
      </w:pPr>
      <w:r>
        <w:rPr>
          <w:rStyle w:val="FootnoteReference"/>
        </w:rPr>
        <w:footnoteRef/>
      </w:r>
      <w:r>
        <w:t xml:space="preserve"> </w:t>
      </w:r>
      <w:r w:rsidRPr="000B19F3">
        <w:rPr>
          <w:rFonts w:ascii="Times New Roman" w:hAnsi="Times New Roman" w:cs="Times New Roman"/>
          <w:sz w:val="22"/>
          <w:szCs w:val="22"/>
        </w:rPr>
        <w:t>The curriculum materials described here have been developed in collaboration with David Kennedy from Montclair State University&amp; IAPC (Institute for the Advancement of Philosophy for Children)</w:t>
      </w:r>
      <w:r w:rsidR="00BA26D5">
        <w:rPr>
          <w:rFonts w:ascii="Times New Roman" w:hAnsi="Times New Roman" w:cs="Times New Roman"/>
          <w:sz w:val="22"/>
          <w:szCs w:val="22"/>
        </w:rPr>
        <w:t xml:space="preserve"> at Montclai</w:t>
      </w:r>
      <w:r>
        <w:rPr>
          <w:rFonts w:ascii="Times New Roman" w:hAnsi="Times New Roman" w:cs="Times New Roman"/>
          <w:sz w:val="22"/>
          <w:szCs w:val="22"/>
        </w:rPr>
        <w:t>r State University</w:t>
      </w:r>
      <w:r w:rsidRPr="000B19F3">
        <w:rPr>
          <w:rFonts w:ascii="Times New Roman" w:hAnsi="Times New Roman" w:cs="Times New Roman"/>
          <w:sz w:val="22"/>
          <w:szCs w:val="22"/>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891" w:rsidRPr="005C388F" w:rsidRDefault="00165416" w:rsidP="00F80AFB">
    <w:pPr>
      <w:pStyle w:val="ICMEHeadline"/>
      <w:jc w:val="right"/>
      <w:rPr>
        <w:lang w:val="en-US"/>
      </w:rPr>
    </w:pPr>
    <w:r>
      <w:rPr>
        <w:lang w:val="en-US"/>
      </w:rPr>
      <w:t>Kennedy</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891" w:rsidRPr="008E54EA" w:rsidRDefault="0020457B" w:rsidP="008E54EA">
    <w:pPr>
      <w:pStyle w:val="Header"/>
      <w:rPr>
        <w:lang w:val="en-US"/>
      </w:rPr>
    </w:pPr>
  </w:p>
  <w:p w:rsidR="00CD0891" w:rsidRPr="008E54EA" w:rsidRDefault="0020457B">
    <w:pPr>
      <w:pStyle w:val="Header"/>
      <w:rPr>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footnotePr>
    <w:footnote w:id="-1"/>
    <w:footnote w:id="0"/>
  </w:footnotePr>
  <w:endnotePr>
    <w:endnote w:id="-1"/>
    <w:endnote w:id="0"/>
  </w:endnotePr>
  <w:compat>
    <w:useFELayout/>
  </w:compat>
  <w:rsids>
    <w:rsidRoot w:val="00E63844"/>
    <w:rsid w:val="00165416"/>
    <w:rsid w:val="001B7823"/>
    <w:rsid w:val="0020457B"/>
    <w:rsid w:val="0047760D"/>
    <w:rsid w:val="005F50D2"/>
    <w:rsid w:val="008B4280"/>
    <w:rsid w:val="00982A5E"/>
    <w:rsid w:val="00BA26D5"/>
    <w:rsid w:val="00E6384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63844"/>
    <w:pPr>
      <w:spacing w:after="120" w:line="320" w:lineRule="atLeast"/>
      <w:jc w:val="both"/>
    </w:pPr>
    <w:rPr>
      <w:rFonts w:ascii="Times New Roman" w:hAnsi="Times New Roman"/>
      <w:sz w:val="28"/>
      <w:szCs w:val="28"/>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3844"/>
    <w:pPr>
      <w:tabs>
        <w:tab w:val="center" w:pos="4536"/>
        <w:tab w:val="right" w:pos="9072"/>
      </w:tabs>
      <w:spacing w:after="0" w:line="240" w:lineRule="auto"/>
    </w:pPr>
  </w:style>
  <w:style w:type="character" w:customStyle="1" w:styleId="HeaderChar">
    <w:name w:val="Header Char"/>
    <w:basedOn w:val="DefaultParagraphFont"/>
    <w:link w:val="Header"/>
    <w:uiPriority w:val="99"/>
    <w:rsid w:val="00E63844"/>
    <w:rPr>
      <w:rFonts w:ascii="Times New Roman" w:hAnsi="Times New Roman"/>
      <w:sz w:val="28"/>
      <w:szCs w:val="28"/>
      <w:lang w:val="de-DE" w:eastAsia="de-DE"/>
    </w:rPr>
  </w:style>
  <w:style w:type="paragraph" w:styleId="Footer">
    <w:name w:val="footer"/>
    <w:basedOn w:val="Normal"/>
    <w:link w:val="FooterChar"/>
    <w:uiPriority w:val="99"/>
    <w:unhideWhenUsed/>
    <w:rsid w:val="00E63844"/>
    <w:pPr>
      <w:tabs>
        <w:tab w:val="center" w:pos="4320"/>
        <w:tab w:val="right" w:pos="8640"/>
      </w:tabs>
      <w:spacing w:after="0" w:line="240" w:lineRule="auto"/>
    </w:pPr>
  </w:style>
  <w:style w:type="character" w:customStyle="1" w:styleId="FooterChar">
    <w:name w:val="Footer Char"/>
    <w:basedOn w:val="DefaultParagraphFont"/>
    <w:link w:val="Footer"/>
    <w:uiPriority w:val="99"/>
    <w:rsid w:val="00E63844"/>
    <w:rPr>
      <w:rFonts w:ascii="Times New Roman" w:hAnsi="Times New Roman"/>
      <w:sz w:val="28"/>
      <w:szCs w:val="28"/>
      <w:lang w:val="de-DE" w:eastAsia="de-DE"/>
    </w:rPr>
  </w:style>
  <w:style w:type="paragraph" w:customStyle="1" w:styleId="ICMEHeadline">
    <w:name w:val="ICME Headline"/>
    <w:basedOn w:val="Normal"/>
    <w:rsid w:val="00E63844"/>
    <w:rPr>
      <w:i/>
    </w:rPr>
  </w:style>
  <w:style w:type="paragraph" w:styleId="FootnoteText">
    <w:name w:val="footnote text"/>
    <w:basedOn w:val="Normal"/>
    <w:link w:val="FootnoteTextChar"/>
    <w:uiPriority w:val="99"/>
    <w:unhideWhenUsed/>
    <w:rsid w:val="00E63844"/>
    <w:pPr>
      <w:spacing w:after="0" w:line="240" w:lineRule="auto"/>
      <w:jc w:val="left"/>
    </w:pPr>
    <w:rPr>
      <w:rFonts w:asciiTheme="minorHAnsi" w:hAnsiTheme="minorHAnsi"/>
      <w:sz w:val="24"/>
      <w:szCs w:val="24"/>
      <w:lang w:val="en-US" w:eastAsia="en-US"/>
    </w:rPr>
  </w:style>
  <w:style w:type="character" w:customStyle="1" w:styleId="FootnoteTextChar">
    <w:name w:val="Footnote Text Char"/>
    <w:basedOn w:val="DefaultParagraphFont"/>
    <w:link w:val="FootnoteText"/>
    <w:uiPriority w:val="99"/>
    <w:rsid w:val="00E63844"/>
  </w:style>
  <w:style w:type="character" w:styleId="FootnoteReference">
    <w:name w:val="footnote reference"/>
    <w:basedOn w:val="DefaultParagraphFont"/>
    <w:uiPriority w:val="99"/>
    <w:unhideWhenUsed/>
    <w:rsid w:val="00E63844"/>
    <w:rPr>
      <w:vertAlign w:val="superscript"/>
    </w:rPr>
  </w:style>
  <w:style w:type="paragraph" w:styleId="NoSpacing">
    <w:name w:val="No Spacing"/>
    <w:uiPriority w:val="1"/>
    <w:qFormat/>
    <w:rsid w:val="00E63844"/>
    <w:pPr>
      <w:spacing w:after="120" w:line="320" w:lineRule="atLeast"/>
      <w:jc w:val="both"/>
    </w:pPr>
    <w:rPr>
      <w:rFonts w:ascii="Times New Roman" w:eastAsia="Calibri" w:hAnsi="Times New Roman" w:cs="Times New Roman"/>
    </w:rPr>
  </w:style>
  <w:style w:type="character" w:styleId="PageNumber">
    <w:name w:val="page number"/>
    <w:basedOn w:val="DefaultParagraphFont"/>
    <w:uiPriority w:val="99"/>
    <w:semiHidden/>
    <w:unhideWhenUsed/>
    <w:rsid w:val="00E6384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63844"/>
    <w:pPr>
      <w:spacing w:after="120" w:line="320" w:lineRule="atLeast"/>
      <w:jc w:val="both"/>
    </w:pPr>
    <w:rPr>
      <w:rFonts w:ascii="Times New Roman" w:hAnsi="Times New Roman"/>
      <w:sz w:val="28"/>
      <w:szCs w:val="28"/>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3844"/>
    <w:pPr>
      <w:tabs>
        <w:tab w:val="center" w:pos="4536"/>
        <w:tab w:val="right" w:pos="9072"/>
      </w:tabs>
      <w:spacing w:after="0" w:line="240" w:lineRule="auto"/>
    </w:pPr>
  </w:style>
  <w:style w:type="character" w:customStyle="1" w:styleId="HeaderChar">
    <w:name w:val="Header Char"/>
    <w:basedOn w:val="DefaultParagraphFont"/>
    <w:link w:val="Header"/>
    <w:uiPriority w:val="99"/>
    <w:rsid w:val="00E63844"/>
    <w:rPr>
      <w:rFonts w:ascii="Times New Roman" w:hAnsi="Times New Roman"/>
      <w:sz w:val="28"/>
      <w:szCs w:val="28"/>
      <w:lang w:val="de-DE" w:eastAsia="de-DE"/>
    </w:rPr>
  </w:style>
  <w:style w:type="paragraph" w:styleId="Footer">
    <w:name w:val="footer"/>
    <w:basedOn w:val="Normal"/>
    <w:link w:val="FooterChar"/>
    <w:uiPriority w:val="99"/>
    <w:unhideWhenUsed/>
    <w:rsid w:val="00E63844"/>
    <w:pPr>
      <w:tabs>
        <w:tab w:val="center" w:pos="4320"/>
        <w:tab w:val="right" w:pos="8640"/>
      </w:tabs>
      <w:spacing w:after="0" w:line="240" w:lineRule="auto"/>
    </w:pPr>
  </w:style>
  <w:style w:type="character" w:customStyle="1" w:styleId="FooterChar">
    <w:name w:val="Footer Char"/>
    <w:basedOn w:val="DefaultParagraphFont"/>
    <w:link w:val="Footer"/>
    <w:uiPriority w:val="99"/>
    <w:rsid w:val="00E63844"/>
    <w:rPr>
      <w:rFonts w:ascii="Times New Roman" w:hAnsi="Times New Roman"/>
      <w:sz w:val="28"/>
      <w:szCs w:val="28"/>
      <w:lang w:val="de-DE" w:eastAsia="de-DE"/>
    </w:rPr>
  </w:style>
  <w:style w:type="paragraph" w:customStyle="1" w:styleId="ICMEHeadline">
    <w:name w:val="ICME Headline"/>
    <w:basedOn w:val="Normal"/>
    <w:rsid w:val="00E63844"/>
    <w:rPr>
      <w:i/>
    </w:rPr>
  </w:style>
  <w:style w:type="paragraph" w:styleId="FootnoteText">
    <w:name w:val="footnote text"/>
    <w:basedOn w:val="Normal"/>
    <w:link w:val="FootnoteTextChar"/>
    <w:uiPriority w:val="99"/>
    <w:unhideWhenUsed/>
    <w:rsid w:val="00E63844"/>
    <w:pPr>
      <w:spacing w:after="0" w:line="240" w:lineRule="auto"/>
      <w:jc w:val="left"/>
    </w:pPr>
    <w:rPr>
      <w:rFonts w:asciiTheme="minorHAnsi" w:hAnsiTheme="minorHAnsi"/>
      <w:sz w:val="24"/>
      <w:szCs w:val="24"/>
      <w:lang w:val="en-US" w:eastAsia="en-US"/>
    </w:rPr>
  </w:style>
  <w:style w:type="character" w:customStyle="1" w:styleId="FootnoteTextChar">
    <w:name w:val="Footnote Text Char"/>
    <w:basedOn w:val="DefaultParagraphFont"/>
    <w:link w:val="FootnoteText"/>
    <w:uiPriority w:val="99"/>
    <w:rsid w:val="00E63844"/>
  </w:style>
  <w:style w:type="character" w:styleId="FootnoteReference">
    <w:name w:val="footnote reference"/>
    <w:basedOn w:val="DefaultParagraphFont"/>
    <w:uiPriority w:val="99"/>
    <w:unhideWhenUsed/>
    <w:rsid w:val="00E63844"/>
    <w:rPr>
      <w:vertAlign w:val="superscript"/>
    </w:rPr>
  </w:style>
  <w:style w:type="paragraph" w:styleId="NoSpacing">
    <w:name w:val="No Spacing"/>
    <w:uiPriority w:val="1"/>
    <w:qFormat/>
    <w:rsid w:val="00E63844"/>
    <w:pPr>
      <w:spacing w:after="120" w:line="320" w:lineRule="atLeast"/>
      <w:jc w:val="both"/>
    </w:pPr>
    <w:rPr>
      <w:rFonts w:ascii="Times New Roman" w:eastAsia="Calibri" w:hAnsi="Times New Roman" w:cs="Times New Roman"/>
    </w:rPr>
  </w:style>
  <w:style w:type="character" w:styleId="PageNumber">
    <w:name w:val="page number"/>
    <w:basedOn w:val="DefaultParagraphFont"/>
    <w:uiPriority w:val="99"/>
    <w:semiHidden/>
    <w:unhideWhenUsed/>
    <w:rsid w:val="00E63844"/>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4189</Words>
  <Characters>23883</Characters>
  <Application>Microsoft Office Word</Application>
  <DocSecurity>0</DocSecurity>
  <Lines>199</Lines>
  <Paragraphs>56</Paragraphs>
  <ScaleCrop>false</ScaleCrop>
  <Company/>
  <LinksUpToDate>false</LinksUpToDate>
  <CharactersWithSpaces>28016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Nadia Kennedy</dc:creator>
  <cp:lastModifiedBy>Paul</cp:lastModifiedBy>
  <cp:revision>3</cp:revision>
  <dcterms:created xsi:type="dcterms:W3CDTF">2016-10-17T11:35:00Z</dcterms:created>
  <dcterms:modified xsi:type="dcterms:W3CDTF">2016-10-17T11:37:00Z</dcterms:modified>
</cp:coreProperties>
</file>